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C9C9">
      <w:pPr>
        <w:widowControl/>
        <w:spacing w:line="400" w:lineRule="atLeast"/>
        <w:ind w:firstLine="803"/>
        <w:jc w:val="center"/>
        <w:rPr>
          <w:b/>
          <w:bCs/>
          <w:color w:val="000000" w:themeColor="text1"/>
          <w:sz w:val="40"/>
          <w:szCs w:val="40"/>
          <w:highlight w:val="none"/>
          <w14:textFill>
            <w14:solidFill>
              <w14:schemeClr w14:val="tx1"/>
            </w14:solidFill>
          </w14:textFill>
        </w:rPr>
      </w:pPr>
      <w:bookmarkStart w:id="0" w:name="_Hlk67315894"/>
      <w:bookmarkStart w:id="1" w:name="_Toc185182814"/>
    </w:p>
    <w:bookmarkEnd w:id="0"/>
    <w:p w14:paraId="176AC9BB">
      <w:pPr>
        <w:widowControl/>
        <w:wordWrap w:val="0"/>
        <w:spacing w:line="400" w:lineRule="atLeast"/>
        <w:ind w:firstLine="420"/>
        <w:rPr>
          <w:color w:val="000000" w:themeColor="text1"/>
          <w:kern w:val="0"/>
          <w:szCs w:val="21"/>
          <w:highlight w:val="none"/>
          <w14:textFill>
            <w14:solidFill>
              <w14:schemeClr w14:val="tx1"/>
            </w14:solidFill>
          </w14:textFill>
        </w:rPr>
      </w:pPr>
    </w:p>
    <w:p w14:paraId="399C6BD8">
      <w:pPr>
        <w:widowControl/>
        <w:wordWrap w:val="0"/>
        <w:spacing w:line="400" w:lineRule="atLeast"/>
        <w:ind w:firstLine="0" w:firstLineChars="0"/>
        <w:jc w:val="center"/>
        <w:rPr>
          <w:rFonts w:hint="eastAsia" w:eastAsia="黑体" w:hAnsiTheme="majorEastAsia"/>
          <w:b/>
          <w:bCs/>
          <w:color w:val="000000" w:themeColor="text1"/>
          <w:kern w:val="0"/>
          <w:sz w:val="48"/>
          <w:szCs w:val="48"/>
          <w:highlight w:val="none"/>
          <w:u w:val="single"/>
          <w:lang w:eastAsia="zh-CN"/>
          <w14:textFill>
            <w14:solidFill>
              <w14:schemeClr w14:val="tx1"/>
            </w14:solidFill>
          </w14:textFill>
        </w:rPr>
      </w:pPr>
      <w:r>
        <w:rPr>
          <w:rFonts w:hint="eastAsia" w:ascii="宋体" w:hAnsi="宋体" w:eastAsia="黑体" w:cs="宋体"/>
          <w:b/>
          <w:bCs/>
          <w:color w:val="000000" w:themeColor="text1"/>
          <w:kern w:val="0"/>
          <w:sz w:val="44"/>
          <w:szCs w:val="44"/>
          <w:highlight w:val="none"/>
          <w:u w:val="single"/>
          <w:lang w:eastAsia="zh-CN"/>
          <w14:textFill>
            <w14:solidFill>
              <w14:schemeClr w14:val="tx1"/>
            </w14:solidFill>
          </w14:textFill>
        </w:rPr>
        <w:t>长华化学新建二氧化碳聚醚及高性能多元醇项目雨水监控池、事故水池钢板及机械租赁</w:t>
      </w:r>
    </w:p>
    <w:p w14:paraId="41863672">
      <w:pPr>
        <w:pStyle w:val="18"/>
        <w:ind w:firstLine="420"/>
        <w:rPr>
          <w:color w:val="000000" w:themeColor="text1"/>
          <w:highlight w:val="none"/>
          <w14:textFill>
            <w14:solidFill>
              <w14:schemeClr w14:val="tx1"/>
            </w14:solidFill>
          </w14:textFill>
        </w:rPr>
      </w:pPr>
    </w:p>
    <w:p w14:paraId="2773CD45">
      <w:pPr>
        <w:pStyle w:val="18"/>
        <w:ind w:firstLine="420"/>
        <w:rPr>
          <w:color w:val="000000" w:themeColor="text1"/>
          <w:highlight w:val="none"/>
          <w14:textFill>
            <w14:solidFill>
              <w14:schemeClr w14:val="tx1"/>
            </w14:solidFill>
          </w14:textFill>
        </w:rPr>
      </w:pPr>
    </w:p>
    <w:p w14:paraId="7EC83F1E">
      <w:pPr>
        <w:pStyle w:val="18"/>
        <w:ind w:firstLine="420"/>
        <w:rPr>
          <w:color w:val="000000" w:themeColor="text1"/>
          <w:highlight w:val="none"/>
          <w14:textFill>
            <w14:solidFill>
              <w14:schemeClr w14:val="tx1"/>
            </w14:solidFill>
          </w14:textFill>
        </w:rPr>
      </w:pPr>
    </w:p>
    <w:p w14:paraId="385DBB4F">
      <w:pPr>
        <w:rPr>
          <w:color w:val="000000" w:themeColor="text1"/>
          <w:highlight w:val="none"/>
          <w14:textFill>
            <w14:solidFill>
              <w14:schemeClr w14:val="tx1"/>
            </w14:solidFill>
          </w14:textFill>
        </w:rPr>
      </w:pPr>
    </w:p>
    <w:p w14:paraId="1B063BBC">
      <w:pPr>
        <w:pStyle w:val="18"/>
        <w:rPr>
          <w:highlight w:val="none"/>
        </w:rPr>
      </w:pPr>
    </w:p>
    <w:p w14:paraId="5B273823">
      <w:pPr>
        <w:pStyle w:val="18"/>
        <w:ind w:firstLine="420"/>
        <w:rPr>
          <w:color w:val="000000" w:themeColor="text1"/>
          <w:highlight w:val="none"/>
          <w14:textFill>
            <w14:solidFill>
              <w14:schemeClr w14:val="tx1"/>
            </w14:solidFill>
          </w14:textFill>
        </w:rPr>
      </w:pPr>
    </w:p>
    <w:p w14:paraId="668AA309">
      <w:pPr>
        <w:pStyle w:val="18"/>
        <w:ind w:firstLine="420"/>
        <w:rPr>
          <w:color w:val="000000" w:themeColor="text1"/>
          <w:highlight w:val="none"/>
          <w14:textFill>
            <w14:solidFill>
              <w14:schemeClr w14:val="tx1"/>
            </w14:solidFill>
          </w14:textFill>
        </w:rPr>
      </w:pPr>
    </w:p>
    <w:p w14:paraId="44978846">
      <w:pPr>
        <w:pStyle w:val="18"/>
        <w:ind w:firstLine="420"/>
        <w:rPr>
          <w:color w:val="000000" w:themeColor="text1"/>
          <w:highlight w:val="none"/>
          <w14:textFill>
            <w14:solidFill>
              <w14:schemeClr w14:val="tx1"/>
            </w14:solidFill>
          </w14:textFill>
        </w:rPr>
      </w:pPr>
    </w:p>
    <w:p w14:paraId="6029DF7F">
      <w:pPr>
        <w:widowControl/>
        <w:wordWrap w:val="0"/>
        <w:spacing w:line="400" w:lineRule="atLeast"/>
        <w:ind w:firstLine="0" w:firstLineChars="0"/>
        <w:jc w:val="center"/>
        <w:rPr>
          <w:rFonts w:eastAsiaTheme="majorEastAsia"/>
          <w:b/>
          <w:bCs/>
          <w:color w:val="000000" w:themeColor="text1"/>
          <w:kern w:val="0"/>
          <w:sz w:val="24"/>
          <w:highlight w:val="none"/>
          <w:u w:val="single"/>
          <w14:textFill>
            <w14:solidFill>
              <w14:schemeClr w14:val="tx1"/>
            </w14:solidFill>
          </w14:textFill>
        </w:rPr>
      </w:pPr>
      <w:r>
        <w:rPr>
          <w:rFonts w:hAnsiTheme="majorEastAsia" w:eastAsiaTheme="majorEastAsia"/>
          <w:b/>
          <w:bCs/>
          <w:color w:val="000000" w:themeColor="text1"/>
          <w:kern w:val="0"/>
          <w:sz w:val="72"/>
          <w:highlight w:val="none"/>
          <w14:textFill>
            <w14:solidFill>
              <w14:schemeClr w14:val="tx1"/>
            </w14:solidFill>
          </w14:textFill>
        </w:rPr>
        <w:t>竞争性谈判文件</w:t>
      </w:r>
    </w:p>
    <w:p w14:paraId="73483C0B">
      <w:pPr>
        <w:pStyle w:val="364"/>
        <w:spacing w:line="400" w:lineRule="atLeast"/>
        <w:ind w:firstLine="964" w:firstLineChars="300"/>
        <w:jc w:val="center"/>
        <w:rPr>
          <w:rFonts w:ascii="Times New Roman" w:hAnsi="Times New Roman" w:eastAsia="黑体"/>
          <w:b/>
          <w:bCs/>
          <w:color w:val="000000" w:themeColor="text1"/>
          <w:sz w:val="32"/>
          <w:highlight w:val="none"/>
          <w14:textFill>
            <w14:solidFill>
              <w14:schemeClr w14:val="tx1"/>
            </w14:solidFill>
          </w14:textFill>
        </w:rPr>
      </w:pPr>
    </w:p>
    <w:p w14:paraId="2AAC58F4">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650B8C79">
      <w:pPr>
        <w:pStyle w:val="18"/>
        <w:ind w:firstLine="420"/>
        <w:rPr>
          <w:color w:val="000000" w:themeColor="text1"/>
          <w:highlight w:val="none"/>
          <w14:textFill>
            <w14:solidFill>
              <w14:schemeClr w14:val="tx1"/>
            </w14:solidFill>
          </w14:textFill>
        </w:rPr>
      </w:pPr>
    </w:p>
    <w:p w14:paraId="4D7A6E57">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24C88AC1">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265243C1">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0C9A3312">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29127E02">
      <w:pPr>
        <w:widowControl/>
        <w:wordWrap w:val="0"/>
        <w:spacing w:line="400" w:lineRule="atLeast"/>
        <w:ind w:firstLine="420"/>
        <w:rPr>
          <w:color w:val="000000" w:themeColor="text1"/>
          <w:kern w:val="0"/>
          <w:szCs w:val="21"/>
          <w:highlight w:val="none"/>
          <w14:textFill>
            <w14:solidFill>
              <w14:schemeClr w14:val="tx1"/>
            </w14:solidFill>
          </w14:textFill>
        </w:rPr>
      </w:pPr>
    </w:p>
    <w:p w14:paraId="38DF3A21">
      <w:pPr>
        <w:widowControl/>
        <w:wordWrap w:val="0"/>
        <w:spacing w:line="400" w:lineRule="atLeast"/>
        <w:ind w:firstLine="420"/>
        <w:jc w:val="center"/>
        <w:rPr>
          <w:color w:val="000000" w:themeColor="text1"/>
          <w:kern w:val="0"/>
          <w:szCs w:val="21"/>
          <w:highlight w:val="none"/>
          <w14:textFill>
            <w14:solidFill>
              <w14:schemeClr w14:val="tx1"/>
            </w14:solidFill>
          </w14:textFill>
        </w:rPr>
      </w:pPr>
    </w:p>
    <w:p w14:paraId="4F38FEE6">
      <w:pPr>
        <w:widowControl/>
        <w:wordWrap w:val="0"/>
        <w:spacing w:line="400" w:lineRule="atLeast"/>
        <w:ind w:firstLine="420"/>
        <w:jc w:val="center"/>
        <w:rPr>
          <w:color w:val="000000" w:themeColor="text1"/>
          <w:kern w:val="0"/>
          <w:szCs w:val="21"/>
          <w:highlight w:val="none"/>
          <w14:textFill>
            <w14:solidFill>
              <w14:schemeClr w14:val="tx1"/>
            </w14:solidFill>
          </w14:textFill>
        </w:rPr>
      </w:pPr>
    </w:p>
    <w:bookmarkEnd w:id="1"/>
    <w:p w14:paraId="328F2482">
      <w:pPr>
        <w:spacing w:line="560" w:lineRule="exact"/>
        <w:ind w:firstLine="1280" w:firstLineChars="400"/>
        <w:jc w:val="left"/>
        <w:rPr>
          <w:rFonts w:eastAsiaTheme="majorEastAsia"/>
          <w:color w:val="000000" w:themeColor="text1"/>
          <w:sz w:val="32"/>
          <w:szCs w:val="32"/>
          <w:highlight w:val="none"/>
          <w14:textFill>
            <w14:solidFill>
              <w14:schemeClr w14:val="tx1"/>
            </w14:solidFill>
          </w14:textFill>
        </w:rPr>
      </w:pPr>
      <w:bookmarkStart w:id="2" w:name="_Toc12025627"/>
      <w:bookmarkStart w:id="3" w:name="_Toc161156573"/>
      <w:bookmarkStart w:id="4" w:name="_Toc185182816"/>
      <w:bookmarkStart w:id="5" w:name="_Toc162622189"/>
      <w:bookmarkStart w:id="6" w:name="_Toc162618954"/>
      <w:bookmarkStart w:id="7" w:name="_Toc161155873"/>
      <w:bookmarkStart w:id="8" w:name="_Toc274636671"/>
      <w:bookmarkStart w:id="9" w:name="_Toc161154240"/>
      <w:r>
        <w:rPr>
          <w:rFonts w:hAnsiTheme="majorEastAsia" w:eastAsiaTheme="majorEastAsia"/>
          <w:color w:val="000000" w:themeColor="text1"/>
          <w:sz w:val="32"/>
          <w:szCs w:val="32"/>
          <w:highlight w:val="none"/>
          <w14:textFill>
            <w14:solidFill>
              <w14:schemeClr w14:val="tx1"/>
            </w14:solidFill>
          </w14:textFill>
        </w:rPr>
        <w:t>采购人：</w:t>
      </w:r>
      <w:r>
        <w:rPr>
          <w:rFonts w:hint="eastAsia" w:hAnsiTheme="majorEastAsia" w:eastAsiaTheme="majorEastAsia"/>
          <w:color w:val="000000" w:themeColor="text1"/>
          <w:sz w:val="32"/>
          <w:szCs w:val="32"/>
          <w:highlight w:val="none"/>
          <w:u w:val="single"/>
          <w14:textFill>
            <w14:solidFill>
              <w14:schemeClr w14:val="tx1"/>
            </w14:solidFill>
          </w14:textFill>
        </w:rPr>
        <w:t xml:space="preserve"> </w:t>
      </w:r>
      <w:r>
        <w:rPr>
          <w:rFonts w:hint="eastAsia" w:hAnsiTheme="majorEastAsia" w:eastAsiaTheme="majorEastAsia"/>
          <w:color w:val="000000" w:themeColor="text1"/>
          <w:sz w:val="32"/>
          <w:szCs w:val="32"/>
          <w:highlight w:val="none"/>
          <w:u w:val="single"/>
          <w:lang w:val="en-US" w:eastAsia="zh-CN"/>
          <w14:textFill>
            <w14:solidFill>
              <w14:schemeClr w14:val="tx1"/>
            </w14:solidFill>
          </w14:textFill>
        </w:rPr>
        <w:t>连云港徐圩建筑工程有限公司</w:t>
      </w:r>
      <w:r>
        <w:rPr>
          <w:rFonts w:hint="eastAsia" w:hAnsiTheme="majorEastAsia" w:eastAsiaTheme="majorEastAsia"/>
          <w:color w:val="000000" w:themeColor="text1"/>
          <w:sz w:val="32"/>
          <w:szCs w:val="32"/>
          <w:highlight w:val="none"/>
          <w:u w:val="single"/>
          <w14:textFill>
            <w14:solidFill>
              <w14:schemeClr w14:val="tx1"/>
            </w14:solidFill>
          </w14:textFill>
        </w:rPr>
        <w:t xml:space="preserve"> </w:t>
      </w:r>
      <w:r>
        <w:rPr>
          <w:rFonts w:hint="eastAsia" w:hAnsiTheme="majorEastAsia" w:eastAsiaTheme="majorEastAsia"/>
          <w:color w:val="000000" w:themeColor="text1"/>
          <w:sz w:val="32"/>
          <w:szCs w:val="32"/>
          <w:highlight w:val="none"/>
          <w14:textFill>
            <w14:solidFill>
              <w14:schemeClr w14:val="tx1"/>
            </w14:solidFill>
          </w14:textFill>
        </w:rPr>
        <w:t xml:space="preserve"> </w:t>
      </w:r>
    </w:p>
    <w:p w14:paraId="2DBD2E4F">
      <w:pPr>
        <w:spacing w:line="560" w:lineRule="exact"/>
        <w:ind w:firstLine="1280" w:firstLineChars="400"/>
        <w:jc w:val="left"/>
        <w:rPr>
          <w:color w:val="000000" w:themeColor="text1"/>
          <w:highlight w:val="none"/>
          <w14:textFill>
            <w14:solidFill>
              <w14:schemeClr w14:val="tx1"/>
            </w14:solidFill>
          </w14:textFill>
        </w:rPr>
      </w:pPr>
      <w:r>
        <w:rPr>
          <w:rFonts w:hAnsiTheme="majorEastAsia" w:eastAsiaTheme="majorEastAsia"/>
          <w:color w:val="000000" w:themeColor="text1"/>
          <w:sz w:val="32"/>
          <w:szCs w:val="32"/>
          <w:highlight w:val="none"/>
          <w14:textFill>
            <w14:solidFill>
              <w14:schemeClr w14:val="tx1"/>
            </w14:solidFill>
          </w14:textFill>
        </w:rPr>
        <w:t>日</w:t>
      </w:r>
      <w:r>
        <w:rPr>
          <w:rFonts w:hint="eastAsia" w:hAnsiTheme="majorEastAsia" w:eastAsiaTheme="majorEastAsia"/>
          <w:color w:val="000000" w:themeColor="text1"/>
          <w:sz w:val="32"/>
          <w:szCs w:val="32"/>
          <w:highlight w:val="none"/>
          <w:lang w:val="en-US" w:eastAsia="zh-CN"/>
          <w14:textFill>
            <w14:solidFill>
              <w14:schemeClr w14:val="tx1"/>
            </w14:solidFill>
          </w14:textFill>
        </w:rPr>
        <w:t xml:space="preserve">  </w:t>
      </w:r>
      <w:r>
        <w:rPr>
          <w:rFonts w:hAnsiTheme="majorEastAsia" w:eastAsiaTheme="majorEastAsia"/>
          <w:color w:val="000000" w:themeColor="text1"/>
          <w:sz w:val="32"/>
          <w:szCs w:val="32"/>
          <w:highlight w:val="none"/>
          <w14:textFill>
            <w14:solidFill>
              <w14:schemeClr w14:val="tx1"/>
            </w14:solidFill>
          </w14:textFill>
        </w:rPr>
        <w:t>期：</w:t>
      </w:r>
      <w:r>
        <w:rPr>
          <w:rFonts w:eastAsiaTheme="majorEastAsia"/>
          <w:color w:val="000000" w:themeColor="text1"/>
          <w:sz w:val="32"/>
          <w:szCs w:val="32"/>
          <w:highlight w:val="none"/>
          <w14:textFill>
            <w14:solidFill>
              <w14:schemeClr w14:val="tx1"/>
            </w14:solidFill>
          </w14:textFill>
        </w:rPr>
        <w:t>202</w:t>
      </w:r>
      <w:r>
        <w:rPr>
          <w:rFonts w:hint="eastAsia" w:eastAsiaTheme="majorEastAsia"/>
          <w:color w:val="000000" w:themeColor="text1"/>
          <w:sz w:val="32"/>
          <w:szCs w:val="32"/>
          <w:highlight w:val="none"/>
          <w:lang w:val="en-US" w:eastAsia="zh-CN"/>
          <w14:textFill>
            <w14:solidFill>
              <w14:schemeClr w14:val="tx1"/>
            </w14:solidFill>
          </w14:textFill>
        </w:rPr>
        <w:t>5</w:t>
      </w:r>
      <w:r>
        <w:rPr>
          <w:rFonts w:hAnsiTheme="majorEastAsia" w:eastAsiaTheme="majorEastAsia"/>
          <w:color w:val="000000" w:themeColor="text1"/>
          <w:sz w:val="32"/>
          <w:szCs w:val="32"/>
          <w:highlight w:val="none"/>
          <w14:textFill>
            <w14:solidFill>
              <w14:schemeClr w14:val="tx1"/>
            </w14:solidFill>
          </w14:textFill>
        </w:rPr>
        <w:t>年</w:t>
      </w:r>
      <w:r>
        <w:rPr>
          <w:rFonts w:hint="eastAsia" w:eastAsiaTheme="majorEastAsia"/>
          <w:color w:val="000000" w:themeColor="text1"/>
          <w:sz w:val="32"/>
          <w:szCs w:val="32"/>
          <w:highlight w:val="none"/>
          <w:u w:val="single"/>
          <w14:textFill>
            <w14:solidFill>
              <w14:schemeClr w14:val="tx1"/>
            </w14:solidFill>
          </w14:textFill>
        </w:rPr>
        <w:t xml:space="preserve">  </w:t>
      </w:r>
      <w:r>
        <w:rPr>
          <w:rFonts w:hint="eastAsia" w:eastAsiaTheme="majorEastAsia"/>
          <w:color w:val="000000" w:themeColor="text1"/>
          <w:sz w:val="32"/>
          <w:szCs w:val="32"/>
          <w:highlight w:val="none"/>
          <w:u w:val="single"/>
          <w:lang w:val="en-US" w:eastAsia="zh-CN"/>
          <w14:textFill>
            <w14:solidFill>
              <w14:schemeClr w14:val="tx1"/>
            </w14:solidFill>
          </w14:textFill>
        </w:rPr>
        <w:t xml:space="preserve">2 </w:t>
      </w:r>
      <w:r>
        <w:rPr>
          <w:rFonts w:hint="eastAsia" w:eastAsiaTheme="majorEastAsia"/>
          <w:color w:val="000000" w:themeColor="text1"/>
          <w:sz w:val="32"/>
          <w:szCs w:val="32"/>
          <w:highlight w:val="none"/>
          <w:u w:val="single"/>
          <w14:textFill>
            <w14:solidFill>
              <w14:schemeClr w14:val="tx1"/>
            </w14:solidFill>
          </w14:textFill>
        </w:rPr>
        <w:t xml:space="preserve"> </w:t>
      </w:r>
      <w:r>
        <w:rPr>
          <w:rFonts w:hAnsiTheme="majorEastAsia" w:eastAsiaTheme="majorEastAsia"/>
          <w:color w:val="000000" w:themeColor="text1"/>
          <w:sz w:val="32"/>
          <w:szCs w:val="32"/>
          <w:highlight w:val="none"/>
          <w14:textFill>
            <w14:solidFill>
              <w14:schemeClr w14:val="tx1"/>
            </w14:solidFill>
          </w14:textFill>
        </w:rPr>
        <w:t>月</w:t>
      </w:r>
    </w:p>
    <w:p w14:paraId="655A449F">
      <w:pPr>
        <w:widowControl/>
        <w:ind w:firstLine="420"/>
        <w:jc w:val="left"/>
        <w:rPr>
          <w:bCs/>
          <w:color w:val="000000" w:themeColor="text1"/>
          <w:szCs w:val="36"/>
          <w:highlight w:val="none"/>
          <w14:textFill>
            <w14:solidFill>
              <w14:schemeClr w14:val="tx1"/>
            </w14:solidFill>
          </w14:textFill>
        </w:rPr>
      </w:pPr>
      <w:r>
        <w:rPr>
          <w:bCs/>
          <w:color w:val="000000" w:themeColor="text1"/>
          <w:szCs w:val="36"/>
          <w:highlight w:val="none"/>
          <w14:textFill>
            <w14:solidFill>
              <w14:schemeClr w14:val="tx1"/>
            </w14:solidFill>
          </w14:textFill>
        </w:rPr>
        <w:br w:type="page"/>
      </w:r>
    </w:p>
    <w:p w14:paraId="6051D7D4">
      <w:pPr>
        <w:spacing w:line="240" w:lineRule="auto"/>
        <w:ind w:firstLine="0" w:firstLineChars="0"/>
        <w:jc w:val="center"/>
        <w:rPr>
          <w:b/>
          <w:bCs/>
          <w:color w:val="000000" w:themeColor="text1"/>
          <w:sz w:val="44"/>
          <w:szCs w:val="44"/>
          <w:highlight w:val="none"/>
          <w14:textFill>
            <w14:solidFill>
              <w14:schemeClr w14:val="tx1"/>
            </w14:solidFill>
          </w14:textFill>
        </w:rPr>
      </w:pPr>
      <w:r>
        <w:rPr>
          <w:b/>
          <w:bCs/>
          <w:color w:val="000000" w:themeColor="text1"/>
          <w:sz w:val="44"/>
          <w:szCs w:val="44"/>
          <w:highlight w:val="none"/>
          <w14:textFill>
            <w14:solidFill>
              <w14:schemeClr w14:val="tx1"/>
            </w14:solidFill>
          </w14:textFill>
        </w:rPr>
        <w:t>目  录</w:t>
      </w:r>
    </w:p>
    <w:p w14:paraId="2C9183C6">
      <w:pPr>
        <w:pStyle w:val="33"/>
        <w:tabs>
          <w:tab w:val="right" w:leader="dot" w:pos="8846"/>
        </w:tabs>
        <w:rPr>
          <w:highlight w:val="none"/>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highlight w:val="none"/>
        </w:rPr>
        <w:instrText xml:space="preserve"> HYPERLINK \l _Toc1764 </w:instrText>
      </w:r>
      <w:r>
        <w:rPr>
          <w:bCs w:val="0"/>
          <w:caps w:val="0"/>
          <w:highlight w:val="none"/>
        </w:rPr>
        <w:fldChar w:fldCharType="separate"/>
      </w:r>
      <w:r>
        <w:rPr>
          <w:rFonts w:ascii="Times New Roman" w:hAnsiTheme="majorEastAsia" w:eastAsiaTheme="majorEastAsia"/>
          <w:bCs/>
          <w:kern w:val="2"/>
          <w:szCs w:val="36"/>
          <w:highlight w:val="none"/>
        </w:rPr>
        <w:t>第一章</w:t>
      </w:r>
      <w:r>
        <w:rPr>
          <w:rFonts w:hint="eastAsia" w:ascii="Times New Roman" w:hAnsiTheme="majorEastAsia" w:eastAsiaTheme="majorEastAsia"/>
          <w:bCs/>
          <w:kern w:val="2"/>
          <w:szCs w:val="36"/>
          <w:highlight w:val="none"/>
        </w:rPr>
        <w:t xml:space="preserve"> </w:t>
      </w:r>
      <w:r>
        <w:rPr>
          <w:rFonts w:hint="eastAsia" w:ascii="Times New Roman" w:hAnsiTheme="majorEastAsia" w:eastAsiaTheme="majorEastAsia"/>
          <w:bCs/>
          <w:kern w:val="2"/>
          <w:szCs w:val="36"/>
          <w:highlight w:val="none"/>
          <w:lang w:eastAsia="zh-CN"/>
        </w:rPr>
        <w:t>邀请竞争性谈判</w:t>
      </w:r>
      <w:r>
        <w:rPr>
          <w:highlight w:val="none"/>
        </w:rPr>
        <w:tab/>
      </w:r>
      <w:r>
        <w:rPr>
          <w:highlight w:val="none"/>
        </w:rPr>
        <w:fldChar w:fldCharType="begin"/>
      </w:r>
      <w:r>
        <w:rPr>
          <w:highlight w:val="none"/>
        </w:rPr>
        <w:instrText xml:space="preserve"> PAGEREF _Toc1764 \h </w:instrText>
      </w:r>
      <w:r>
        <w:rPr>
          <w:highlight w:val="none"/>
        </w:rPr>
        <w:fldChar w:fldCharType="separate"/>
      </w:r>
      <w:r>
        <w:rPr>
          <w:highlight w:val="none"/>
        </w:rPr>
        <w:t>3</w:t>
      </w:r>
      <w:r>
        <w:rPr>
          <w:highlight w:val="none"/>
        </w:rPr>
        <w:fldChar w:fldCharType="end"/>
      </w:r>
      <w:r>
        <w:rPr>
          <w:bCs w:val="0"/>
          <w:caps w:val="0"/>
          <w:color w:val="000000" w:themeColor="text1"/>
          <w:highlight w:val="none"/>
          <w14:textFill>
            <w14:solidFill>
              <w14:schemeClr w14:val="tx1"/>
            </w14:solidFill>
          </w14:textFill>
        </w:rPr>
        <w:fldChar w:fldCharType="end"/>
      </w:r>
    </w:p>
    <w:p w14:paraId="354384F9">
      <w:pPr>
        <w:pStyle w:val="33"/>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_Toc13863 </w:instrText>
      </w:r>
      <w:r>
        <w:rPr>
          <w:bCs/>
          <w:caps/>
          <w:szCs w:val="20"/>
          <w:highlight w:val="none"/>
        </w:rPr>
        <w:fldChar w:fldCharType="separate"/>
      </w:r>
      <w:r>
        <w:rPr>
          <w:rFonts w:ascii="Times New Roman" w:hAnsi="黑体"/>
          <w:kern w:val="2"/>
          <w:szCs w:val="24"/>
          <w:highlight w:val="none"/>
        </w:rPr>
        <w:t>第二章</w:t>
      </w:r>
      <w:r>
        <w:rPr>
          <w:rFonts w:hint="eastAsia" w:ascii="Times New Roman" w:hAnsi="黑体"/>
          <w:kern w:val="2"/>
          <w:szCs w:val="24"/>
          <w:highlight w:val="none"/>
        </w:rPr>
        <w:t xml:space="preserve"> 供应商</w:t>
      </w:r>
      <w:r>
        <w:rPr>
          <w:rFonts w:ascii="Times New Roman" w:hAnsi="黑体"/>
          <w:kern w:val="2"/>
          <w:szCs w:val="24"/>
          <w:highlight w:val="none"/>
        </w:rPr>
        <w:t>须知</w:t>
      </w:r>
      <w:r>
        <w:rPr>
          <w:highlight w:val="none"/>
        </w:rPr>
        <w:tab/>
      </w:r>
      <w:r>
        <w:rPr>
          <w:highlight w:val="none"/>
        </w:rPr>
        <w:fldChar w:fldCharType="begin"/>
      </w:r>
      <w:r>
        <w:rPr>
          <w:highlight w:val="none"/>
        </w:rPr>
        <w:instrText xml:space="preserve"> PAGEREF _Toc13863 \h </w:instrText>
      </w:r>
      <w:r>
        <w:rPr>
          <w:highlight w:val="none"/>
        </w:rPr>
        <w:fldChar w:fldCharType="separate"/>
      </w:r>
      <w:r>
        <w:rPr>
          <w:highlight w:val="none"/>
        </w:rPr>
        <w:t>6</w:t>
      </w:r>
      <w:r>
        <w:rPr>
          <w:highlight w:val="none"/>
        </w:rPr>
        <w:fldChar w:fldCharType="end"/>
      </w:r>
      <w:r>
        <w:rPr>
          <w:bCs/>
          <w:caps/>
          <w:color w:val="000000" w:themeColor="text1"/>
          <w:szCs w:val="20"/>
          <w:highlight w:val="none"/>
          <w14:textFill>
            <w14:solidFill>
              <w14:schemeClr w14:val="tx1"/>
            </w14:solidFill>
          </w14:textFill>
        </w:rPr>
        <w:fldChar w:fldCharType="end"/>
      </w:r>
    </w:p>
    <w:p w14:paraId="36BEB7A6">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_Toc4798 </w:instrText>
      </w:r>
      <w:r>
        <w:rPr>
          <w:bCs/>
          <w:caps/>
          <w:szCs w:val="20"/>
          <w:highlight w:val="none"/>
        </w:rPr>
        <w:fldChar w:fldCharType="separate"/>
      </w:r>
      <w:r>
        <w:rPr>
          <w:rFonts w:hint="eastAsia" w:ascii="Times New Roman" w:hAnsi="Times New Roman" w:eastAsiaTheme="minorEastAsia"/>
          <w:szCs w:val="30"/>
          <w:highlight w:val="none"/>
        </w:rPr>
        <w:t>供应商须知</w:t>
      </w:r>
      <w:r>
        <w:rPr>
          <w:highlight w:val="none"/>
        </w:rPr>
        <w:tab/>
      </w:r>
      <w:r>
        <w:rPr>
          <w:highlight w:val="none"/>
        </w:rPr>
        <w:fldChar w:fldCharType="begin"/>
      </w:r>
      <w:r>
        <w:rPr>
          <w:highlight w:val="none"/>
        </w:rPr>
        <w:instrText xml:space="preserve"> PAGEREF _Toc4798 \h </w:instrText>
      </w:r>
      <w:r>
        <w:rPr>
          <w:highlight w:val="none"/>
        </w:rPr>
        <w:fldChar w:fldCharType="separate"/>
      </w:r>
      <w:r>
        <w:rPr>
          <w:highlight w:val="none"/>
        </w:rPr>
        <w:t>11</w:t>
      </w:r>
      <w:r>
        <w:rPr>
          <w:highlight w:val="none"/>
        </w:rPr>
        <w:fldChar w:fldCharType="end"/>
      </w:r>
      <w:r>
        <w:rPr>
          <w:bCs/>
          <w:caps/>
          <w:color w:val="000000" w:themeColor="text1"/>
          <w:szCs w:val="20"/>
          <w:highlight w:val="none"/>
          <w14:textFill>
            <w14:solidFill>
              <w14:schemeClr w14:val="tx1"/>
            </w14:solidFill>
          </w14:textFill>
        </w:rPr>
        <w:fldChar w:fldCharType="end"/>
      </w:r>
    </w:p>
    <w:p w14:paraId="49EF536D">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_Toc19847 </w:instrText>
      </w:r>
      <w:r>
        <w:rPr>
          <w:bCs/>
          <w:caps/>
          <w:szCs w:val="20"/>
          <w:highlight w:val="none"/>
        </w:rPr>
        <w:fldChar w:fldCharType="separate"/>
      </w:r>
      <w:r>
        <w:rPr>
          <w:rFonts w:ascii="Times New Roman" w:hAnsi="Times New Roman" w:eastAsiaTheme="minorEastAsia"/>
          <w:szCs w:val="21"/>
          <w:highlight w:val="none"/>
        </w:rPr>
        <w:t>一、总则</w:t>
      </w:r>
      <w:r>
        <w:rPr>
          <w:highlight w:val="none"/>
        </w:rPr>
        <w:tab/>
      </w:r>
      <w:r>
        <w:rPr>
          <w:highlight w:val="none"/>
        </w:rPr>
        <w:fldChar w:fldCharType="begin"/>
      </w:r>
      <w:r>
        <w:rPr>
          <w:highlight w:val="none"/>
        </w:rPr>
        <w:instrText xml:space="preserve"> PAGEREF _Toc19847 \h </w:instrText>
      </w:r>
      <w:r>
        <w:rPr>
          <w:highlight w:val="none"/>
        </w:rPr>
        <w:fldChar w:fldCharType="separate"/>
      </w:r>
      <w:r>
        <w:rPr>
          <w:highlight w:val="none"/>
        </w:rPr>
        <w:t>11</w:t>
      </w:r>
      <w:r>
        <w:rPr>
          <w:highlight w:val="none"/>
        </w:rPr>
        <w:fldChar w:fldCharType="end"/>
      </w:r>
      <w:r>
        <w:rPr>
          <w:bCs/>
          <w:caps/>
          <w:color w:val="000000" w:themeColor="text1"/>
          <w:szCs w:val="20"/>
          <w:highlight w:val="none"/>
          <w14:textFill>
            <w14:solidFill>
              <w14:schemeClr w14:val="tx1"/>
            </w14:solidFill>
          </w14:textFill>
        </w:rPr>
        <w:fldChar w:fldCharType="end"/>
      </w:r>
    </w:p>
    <w:p w14:paraId="7C3DF545">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_Toc15470 </w:instrText>
      </w:r>
      <w:r>
        <w:rPr>
          <w:bCs/>
          <w:caps/>
          <w:szCs w:val="20"/>
          <w:highlight w:val="none"/>
        </w:rPr>
        <w:fldChar w:fldCharType="separate"/>
      </w:r>
      <w:r>
        <w:rPr>
          <w:rFonts w:ascii="Times New Roman" w:hAnsi="Times New Roman" w:eastAsiaTheme="minorEastAsia"/>
          <w:szCs w:val="21"/>
          <w:highlight w:val="none"/>
        </w:rPr>
        <w:t>二、谈判文件</w:t>
      </w:r>
      <w:r>
        <w:rPr>
          <w:highlight w:val="none"/>
        </w:rPr>
        <w:tab/>
      </w:r>
      <w:r>
        <w:rPr>
          <w:highlight w:val="none"/>
        </w:rPr>
        <w:fldChar w:fldCharType="begin"/>
      </w:r>
      <w:r>
        <w:rPr>
          <w:highlight w:val="none"/>
        </w:rPr>
        <w:instrText xml:space="preserve"> PAGEREF _Toc15470 \h </w:instrText>
      </w:r>
      <w:r>
        <w:rPr>
          <w:highlight w:val="none"/>
        </w:rPr>
        <w:fldChar w:fldCharType="separate"/>
      </w:r>
      <w:r>
        <w:rPr>
          <w:highlight w:val="none"/>
        </w:rPr>
        <w:t>12</w:t>
      </w:r>
      <w:r>
        <w:rPr>
          <w:highlight w:val="none"/>
        </w:rPr>
        <w:fldChar w:fldCharType="end"/>
      </w:r>
      <w:r>
        <w:rPr>
          <w:bCs/>
          <w:caps/>
          <w:color w:val="000000" w:themeColor="text1"/>
          <w:szCs w:val="20"/>
          <w:highlight w:val="none"/>
          <w14:textFill>
            <w14:solidFill>
              <w14:schemeClr w14:val="tx1"/>
            </w14:solidFill>
          </w14:textFill>
        </w:rPr>
        <w:fldChar w:fldCharType="end"/>
      </w:r>
    </w:p>
    <w:p w14:paraId="43F783A8">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_Toc7973 </w:instrText>
      </w:r>
      <w:r>
        <w:rPr>
          <w:bCs/>
          <w:caps/>
          <w:szCs w:val="20"/>
          <w:highlight w:val="none"/>
        </w:rPr>
        <w:fldChar w:fldCharType="separate"/>
      </w:r>
      <w:r>
        <w:rPr>
          <w:rFonts w:ascii="Times New Roman" w:hAnsi="Times New Roman" w:eastAsiaTheme="minorEastAsia"/>
          <w:szCs w:val="21"/>
          <w:highlight w:val="none"/>
        </w:rPr>
        <w:t>三、响应文件</w:t>
      </w:r>
      <w:r>
        <w:rPr>
          <w:highlight w:val="none"/>
        </w:rPr>
        <w:tab/>
      </w:r>
      <w:r>
        <w:rPr>
          <w:highlight w:val="none"/>
        </w:rPr>
        <w:fldChar w:fldCharType="begin"/>
      </w:r>
      <w:r>
        <w:rPr>
          <w:highlight w:val="none"/>
        </w:rPr>
        <w:instrText xml:space="preserve"> PAGEREF _Toc7973 \h </w:instrText>
      </w:r>
      <w:r>
        <w:rPr>
          <w:highlight w:val="none"/>
        </w:rPr>
        <w:fldChar w:fldCharType="separate"/>
      </w:r>
      <w:r>
        <w:rPr>
          <w:highlight w:val="none"/>
        </w:rPr>
        <w:t>13</w:t>
      </w:r>
      <w:r>
        <w:rPr>
          <w:highlight w:val="none"/>
        </w:rPr>
        <w:fldChar w:fldCharType="end"/>
      </w:r>
      <w:r>
        <w:rPr>
          <w:bCs/>
          <w:caps/>
          <w:color w:val="000000" w:themeColor="text1"/>
          <w:szCs w:val="20"/>
          <w:highlight w:val="none"/>
          <w14:textFill>
            <w14:solidFill>
              <w14:schemeClr w14:val="tx1"/>
            </w14:solidFill>
          </w14:textFill>
        </w:rPr>
        <w:fldChar w:fldCharType="end"/>
      </w:r>
    </w:p>
    <w:p w14:paraId="6F36744E">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_Toc302 </w:instrText>
      </w:r>
      <w:r>
        <w:rPr>
          <w:bCs/>
          <w:caps/>
          <w:szCs w:val="20"/>
          <w:highlight w:val="none"/>
        </w:rPr>
        <w:fldChar w:fldCharType="separate"/>
      </w:r>
      <w:r>
        <w:rPr>
          <w:rFonts w:ascii="Times New Roman" w:hAnsi="Times New Roman" w:eastAsiaTheme="minorEastAsia"/>
          <w:szCs w:val="21"/>
          <w:highlight w:val="none"/>
        </w:rPr>
        <w:t>四、响应文件的递交、修改与撤回</w:t>
      </w:r>
      <w:r>
        <w:rPr>
          <w:highlight w:val="none"/>
        </w:rPr>
        <w:tab/>
      </w:r>
      <w:r>
        <w:rPr>
          <w:highlight w:val="none"/>
        </w:rPr>
        <w:fldChar w:fldCharType="begin"/>
      </w:r>
      <w:r>
        <w:rPr>
          <w:highlight w:val="none"/>
        </w:rPr>
        <w:instrText xml:space="preserve"> PAGEREF _Toc302 \h </w:instrText>
      </w:r>
      <w:r>
        <w:rPr>
          <w:highlight w:val="none"/>
        </w:rPr>
        <w:fldChar w:fldCharType="separate"/>
      </w:r>
      <w:r>
        <w:rPr>
          <w:highlight w:val="none"/>
        </w:rPr>
        <w:t>16</w:t>
      </w:r>
      <w:r>
        <w:rPr>
          <w:highlight w:val="none"/>
        </w:rPr>
        <w:fldChar w:fldCharType="end"/>
      </w:r>
      <w:r>
        <w:rPr>
          <w:bCs/>
          <w:caps/>
          <w:color w:val="000000" w:themeColor="text1"/>
          <w:szCs w:val="20"/>
          <w:highlight w:val="none"/>
          <w14:textFill>
            <w14:solidFill>
              <w14:schemeClr w14:val="tx1"/>
            </w14:solidFill>
          </w14:textFill>
        </w:rPr>
        <w:fldChar w:fldCharType="end"/>
      </w:r>
    </w:p>
    <w:p w14:paraId="16606C98">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_Toc13113 </w:instrText>
      </w:r>
      <w:r>
        <w:rPr>
          <w:bCs/>
          <w:caps/>
          <w:szCs w:val="20"/>
          <w:highlight w:val="none"/>
        </w:rPr>
        <w:fldChar w:fldCharType="separate"/>
      </w:r>
      <w:r>
        <w:rPr>
          <w:rFonts w:ascii="Times New Roman" w:hAnsi="Times New Roman" w:eastAsiaTheme="minorEastAsia"/>
          <w:szCs w:val="21"/>
          <w:highlight w:val="none"/>
        </w:rPr>
        <w:t>五、谈判与评审</w:t>
      </w:r>
      <w:r>
        <w:rPr>
          <w:highlight w:val="none"/>
        </w:rPr>
        <w:tab/>
      </w:r>
      <w:r>
        <w:rPr>
          <w:highlight w:val="none"/>
        </w:rPr>
        <w:fldChar w:fldCharType="begin"/>
      </w:r>
      <w:r>
        <w:rPr>
          <w:highlight w:val="none"/>
        </w:rPr>
        <w:instrText xml:space="preserve"> PAGEREF _Toc13113 \h </w:instrText>
      </w:r>
      <w:r>
        <w:rPr>
          <w:highlight w:val="none"/>
        </w:rPr>
        <w:fldChar w:fldCharType="separate"/>
      </w:r>
      <w:r>
        <w:rPr>
          <w:highlight w:val="none"/>
        </w:rPr>
        <w:t>16</w:t>
      </w:r>
      <w:r>
        <w:rPr>
          <w:highlight w:val="none"/>
        </w:rPr>
        <w:fldChar w:fldCharType="end"/>
      </w:r>
      <w:r>
        <w:rPr>
          <w:bCs/>
          <w:caps/>
          <w:color w:val="000000" w:themeColor="text1"/>
          <w:szCs w:val="20"/>
          <w:highlight w:val="none"/>
          <w14:textFill>
            <w14:solidFill>
              <w14:schemeClr w14:val="tx1"/>
            </w14:solidFill>
          </w14:textFill>
        </w:rPr>
        <w:fldChar w:fldCharType="end"/>
      </w:r>
    </w:p>
    <w:p w14:paraId="43F4692F">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_Toc28821 </w:instrText>
      </w:r>
      <w:r>
        <w:rPr>
          <w:bCs/>
          <w:caps/>
          <w:szCs w:val="20"/>
          <w:highlight w:val="none"/>
        </w:rPr>
        <w:fldChar w:fldCharType="separate"/>
      </w:r>
      <w:r>
        <w:rPr>
          <w:rFonts w:ascii="Times New Roman" w:hAnsi="Times New Roman" w:eastAsiaTheme="minorEastAsia"/>
          <w:szCs w:val="21"/>
          <w:highlight w:val="none"/>
        </w:rPr>
        <w:t>六、成交结果公示</w:t>
      </w:r>
      <w:r>
        <w:rPr>
          <w:highlight w:val="none"/>
        </w:rPr>
        <w:tab/>
      </w:r>
      <w:r>
        <w:rPr>
          <w:highlight w:val="none"/>
        </w:rPr>
        <w:fldChar w:fldCharType="begin"/>
      </w:r>
      <w:r>
        <w:rPr>
          <w:highlight w:val="none"/>
        </w:rPr>
        <w:instrText xml:space="preserve"> PAGEREF _Toc28821 \h </w:instrText>
      </w:r>
      <w:r>
        <w:rPr>
          <w:highlight w:val="none"/>
        </w:rPr>
        <w:fldChar w:fldCharType="separate"/>
      </w:r>
      <w:r>
        <w:rPr>
          <w:highlight w:val="none"/>
        </w:rPr>
        <w:t>16</w:t>
      </w:r>
      <w:r>
        <w:rPr>
          <w:highlight w:val="none"/>
        </w:rPr>
        <w:fldChar w:fldCharType="end"/>
      </w:r>
      <w:r>
        <w:rPr>
          <w:bCs/>
          <w:caps/>
          <w:color w:val="000000" w:themeColor="text1"/>
          <w:szCs w:val="20"/>
          <w:highlight w:val="none"/>
          <w14:textFill>
            <w14:solidFill>
              <w14:schemeClr w14:val="tx1"/>
            </w14:solidFill>
          </w14:textFill>
        </w:rPr>
        <w:fldChar w:fldCharType="end"/>
      </w:r>
    </w:p>
    <w:p w14:paraId="37669409">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_Toc27194 </w:instrText>
      </w:r>
      <w:r>
        <w:rPr>
          <w:bCs/>
          <w:caps/>
          <w:szCs w:val="20"/>
          <w:highlight w:val="none"/>
        </w:rPr>
        <w:fldChar w:fldCharType="separate"/>
      </w:r>
      <w:r>
        <w:rPr>
          <w:rFonts w:ascii="Times New Roman" w:hAnsi="Times New Roman" w:eastAsiaTheme="minorEastAsia"/>
          <w:szCs w:val="21"/>
          <w:highlight w:val="none"/>
        </w:rPr>
        <w:t>七、合同授予</w:t>
      </w:r>
      <w:r>
        <w:rPr>
          <w:highlight w:val="none"/>
        </w:rPr>
        <w:tab/>
      </w:r>
      <w:r>
        <w:rPr>
          <w:highlight w:val="none"/>
        </w:rPr>
        <w:fldChar w:fldCharType="begin"/>
      </w:r>
      <w:r>
        <w:rPr>
          <w:highlight w:val="none"/>
        </w:rPr>
        <w:instrText xml:space="preserve"> PAGEREF _Toc27194 \h </w:instrText>
      </w:r>
      <w:r>
        <w:rPr>
          <w:highlight w:val="none"/>
        </w:rPr>
        <w:fldChar w:fldCharType="separate"/>
      </w:r>
      <w:r>
        <w:rPr>
          <w:highlight w:val="none"/>
        </w:rPr>
        <w:t>17</w:t>
      </w:r>
      <w:r>
        <w:rPr>
          <w:highlight w:val="none"/>
        </w:rPr>
        <w:fldChar w:fldCharType="end"/>
      </w:r>
      <w:r>
        <w:rPr>
          <w:bCs/>
          <w:caps/>
          <w:color w:val="000000" w:themeColor="text1"/>
          <w:szCs w:val="20"/>
          <w:highlight w:val="none"/>
          <w14:textFill>
            <w14:solidFill>
              <w14:schemeClr w14:val="tx1"/>
            </w14:solidFill>
          </w14:textFill>
        </w:rPr>
        <w:fldChar w:fldCharType="end"/>
      </w:r>
    </w:p>
    <w:p w14:paraId="4632A9C5">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_Toc9105 </w:instrText>
      </w:r>
      <w:r>
        <w:rPr>
          <w:bCs/>
          <w:caps/>
          <w:szCs w:val="20"/>
          <w:highlight w:val="none"/>
        </w:rPr>
        <w:fldChar w:fldCharType="separate"/>
      </w:r>
      <w:r>
        <w:rPr>
          <w:rFonts w:ascii="Times New Roman" w:hAnsi="Times New Roman" w:eastAsiaTheme="minorEastAsia"/>
          <w:szCs w:val="21"/>
          <w:highlight w:val="none"/>
        </w:rPr>
        <w:t>八、纪律和监督</w:t>
      </w:r>
      <w:r>
        <w:rPr>
          <w:highlight w:val="none"/>
        </w:rPr>
        <w:tab/>
      </w:r>
      <w:r>
        <w:rPr>
          <w:highlight w:val="none"/>
        </w:rPr>
        <w:fldChar w:fldCharType="begin"/>
      </w:r>
      <w:r>
        <w:rPr>
          <w:highlight w:val="none"/>
        </w:rPr>
        <w:instrText xml:space="preserve"> PAGEREF _Toc9105 \h </w:instrText>
      </w:r>
      <w:r>
        <w:rPr>
          <w:highlight w:val="none"/>
        </w:rPr>
        <w:fldChar w:fldCharType="separate"/>
      </w:r>
      <w:r>
        <w:rPr>
          <w:highlight w:val="none"/>
        </w:rPr>
        <w:t>17</w:t>
      </w:r>
      <w:r>
        <w:rPr>
          <w:highlight w:val="none"/>
        </w:rPr>
        <w:fldChar w:fldCharType="end"/>
      </w:r>
      <w:r>
        <w:rPr>
          <w:bCs/>
          <w:caps/>
          <w:color w:val="000000" w:themeColor="text1"/>
          <w:szCs w:val="20"/>
          <w:highlight w:val="none"/>
          <w14:textFill>
            <w14:solidFill>
              <w14:schemeClr w14:val="tx1"/>
            </w14:solidFill>
          </w14:textFill>
        </w:rPr>
        <w:fldChar w:fldCharType="end"/>
      </w:r>
    </w:p>
    <w:p w14:paraId="547A9883">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_Toc4710 </w:instrText>
      </w:r>
      <w:r>
        <w:rPr>
          <w:bCs/>
          <w:caps/>
          <w:szCs w:val="20"/>
          <w:highlight w:val="none"/>
        </w:rPr>
        <w:fldChar w:fldCharType="separate"/>
      </w:r>
      <w:r>
        <w:rPr>
          <w:rFonts w:ascii="Times New Roman" w:hAnsi="Times New Roman" w:eastAsiaTheme="minorEastAsia"/>
          <w:szCs w:val="21"/>
          <w:highlight w:val="none"/>
        </w:rPr>
        <w:t>九、解释权</w:t>
      </w:r>
      <w:r>
        <w:rPr>
          <w:highlight w:val="none"/>
        </w:rPr>
        <w:tab/>
      </w:r>
      <w:r>
        <w:rPr>
          <w:highlight w:val="none"/>
        </w:rPr>
        <w:fldChar w:fldCharType="begin"/>
      </w:r>
      <w:r>
        <w:rPr>
          <w:highlight w:val="none"/>
        </w:rPr>
        <w:instrText xml:space="preserve"> PAGEREF _Toc4710 \h </w:instrText>
      </w:r>
      <w:r>
        <w:rPr>
          <w:highlight w:val="none"/>
        </w:rPr>
        <w:fldChar w:fldCharType="separate"/>
      </w:r>
      <w:r>
        <w:rPr>
          <w:highlight w:val="none"/>
        </w:rPr>
        <w:t>18</w:t>
      </w:r>
      <w:r>
        <w:rPr>
          <w:highlight w:val="none"/>
        </w:rPr>
        <w:fldChar w:fldCharType="end"/>
      </w:r>
      <w:r>
        <w:rPr>
          <w:bCs/>
          <w:caps/>
          <w:color w:val="000000" w:themeColor="text1"/>
          <w:szCs w:val="20"/>
          <w:highlight w:val="none"/>
          <w14:textFill>
            <w14:solidFill>
              <w14:schemeClr w14:val="tx1"/>
            </w14:solidFill>
          </w14:textFill>
        </w:rPr>
        <w:fldChar w:fldCharType="end"/>
      </w:r>
    </w:p>
    <w:p w14:paraId="00ED3356">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_Toc3147 </w:instrText>
      </w:r>
      <w:r>
        <w:rPr>
          <w:bCs/>
          <w:caps/>
          <w:szCs w:val="20"/>
          <w:highlight w:val="none"/>
        </w:rPr>
        <w:fldChar w:fldCharType="separate"/>
      </w:r>
      <w:r>
        <w:rPr>
          <w:rFonts w:ascii="Times New Roman" w:hAnsi="Times New Roman" w:eastAsiaTheme="minorEastAsia"/>
          <w:szCs w:val="21"/>
          <w:highlight w:val="none"/>
        </w:rPr>
        <w:t>十、采购人补充的其他内容</w:t>
      </w:r>
      <w:r>
        <w:rPr>
          <w:highlight w:val="none"/>
        </w:rPr>
        <w:tab/>
      </w:r>
      <w:r>
        <w:rPr>
          <w:highlight w:val="none"/>
        </w:rPr>
        <w:fldChar w:fldCharType="begin"/>
      </w:r>
      <w:r>
        <w:rPr>
          <w:highlight w:val="none"/>
        </w:rPr>
        <w:instrText xml:space="preserve"> PAGEREF _Toc3147 \h </w:instrText>
      </w:r>
      <w:r>
        <w:rPr>
          <w:highlight w:val="none"/>
        </w:rPr>
        <w:fldChar w:fldCharType="separate"/>
      </w:r>
      <w:r>
        <w:rPr>
          <w:highlight w:val="none"/>
        </w:rPr>
        <w:t>19</w:t>
      </w:r>
      <w:r>
        <w:rPr>
          <w:highlight w:val="none"/>
        </w:rPr>
        <w:fldChar w:fldCharType="end"/>
      </w:r>
      <w:r>
        <w:rPr>
          <w:bCs/>
          <w:caps/>
          <w:color w:val="000000" w:themeColor="text1"/>
          <w:szCs w:val="20"/>
          <w:highlight w:val="none"/>
          <w14:textFill>
            <w14:solidFill>
              <w14:schemeClr w14:val="tx1"/>
            </w14:solidFill>
          </w14:textFill>
        </w:rPr>
        <w:fldChar w:fldCharType="end"/>
      </w:r>
    </w:p>
    <w:p w14:paraId="4B36670C">
      <w:pPr>
        <w:pStyle w:val="33"/>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_Toc18077 </w:instrText>
      </w:r>
      <w:r>
        <w:rPr>
          <w:bCs/>
          <w:caps/>
          <w:szCs w:val="20"/>
          <w:highlight w:val="none"/>
        </w:rPr>
        <w:fldChar w:fldCharType="separate"/>
      </w:r>
      <w:r>
        <w:rPr>
          <w:rFonts w:ascii="Times New Roman"/>
          <w:highlight w:val="none"/>
        </w:rPr>
        <w:t>第三章</w:t>
      </w:r>
      <w:r>
        <w:rPr>
          <w:rFonts w:hint="eastAsia" w:ascii="Times New Roman"/>
          <w:highlight w:val="none"/>
        </w:rPr>
        <w:t xml:space="preserve"> </w:t>
      </w:r>
      <w:r>
        <w:rPr>
          <w:rFonts w:ascii="Times New Roman"/>
          <w:highlight w:val="none"/>
        </w:rPr>
        <w:t>评审办法</w:t>
      </w:r>
      <w:r>
        <w:rPr>
          <w:highlight w:val="none"/>
        </w:rPr>
        <w:tab/>
      </w:r>
      <w:r>
        <w:rPr>
          <w:highlight w:val="none"/>
        </w:rPr>
        <w:fldChar w:fldCharType="begin"/>
      </w:r>
      <w:r>
        <w:rPr>
          <w:highlight w:val="none"/>
        </w:rPr>
        <w:instrText xml:space="preserve"> PAGEREF _Toc18077 \h </w:instrText>
      </w:r>
      <w:r>
        <w:rPr>
          <w:highlight w:val="none"/>
        </w:rPr>
        <w:fldChar w:fldCharType="separate"/>
      </w:r>
      <w:r>
        <w:rPr>
          <w:highlight w:val="none"/>
        </w:rPr>
        <w:t>20</w:t>
      </w:r>
      <w:r>
        <w:rPr>
          <w:highlight w:val="none"/>
        </w:rPr>
        <w:fldChar w:fldCharType="end"/>
      </w:r>
      <w:r>
        <w:rPr>
          <w:bCs/>
          <w:caps/>
          <w:color w:val="000000" w:themeColor="text1"/>
          <w:szCs w:val="20"/>
          <w:highlight w:val="none"/>
          <w14:textFill>
            <w14:solidFill>
              <w14:schemeClr w14:val="tx1"/>
            </w14:solidFill>
          </w14:textFill>
        </w:rPr>
        <w:fldChar w:fldCharType="end"/>
      </w:r>
    </w:p>
    <w:p w14:paraId="5FBE7DA3">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_Toc28180 </w:instrText>
      </w:r>
      <w:r>
        <w:rPr>
          <w:bCs/>
          <w:caps/>
          <w:szCs w:val="20"/>
          <w:highlight w:val="none"/>
        </w:rPr>
        <w:fldChar w:fldCharType="separate"/>
      </w:r>
      <w:r>
        <w:rPr>
          <w:rFonts w:ascii="Times New Roman" w:hAnsiTheme="minorEastAsia" w:eastAsiaTheme="minorEastAsia"/>
          <w:szCs w:val="21"/>
          <w:highlight w:val="none"/>
        </w:rPr>
        <w:t>一、评审方法</w:t>
      </w:r>
      <w:r>
        <w:rPr>
          <w:highlight w:val="none"/>
        </w:rPr>
        <w:tab/>
      </w:r>
      <w:r>
        <w:rPr>
          <w:highlight w:val="none"/>
        </w:rPr>
        <w:fldChar w:fldCharType="begin"/>
      </w:r>
      <w:r>
        <w:rPr>
          <w:highlight w:val="none"/>
        </w:rPr>
        <w:instrText xml:space="preserve"> PAGEREF _Toc28180 \h </w:instrText>
      </w:r>
      <w:r>
        <w:rPr>
          <w:highlight w:val="none"/>
        </w:rPr>
        <w:fldChar w:fldCharType="separate"/>
      </w:r>
      <w:r>
        <w:rPr>
          <w:highlight w:val="none"/>
        </w:rPr>
        <w:t>20</w:t>
      </w:r>
      <w:r>
        <w:rPr>
          <w:highlight w:val="none"/>
        </w:rPr>
        <w:fldChar w:fldCharType="end"/>
      </w:r>
      <w:r>
        <w:rPr>
          <w:bCs/>
          <w:caps/>
          <w:color w:val="000000" w:themeColor="text1"/>
          <w:szCs w:val="20"/>
          <w:highlight w:val="none"/>
          <w14:textFill>
            <w14:solidFill>
              <w14:schemeClr w14:val="tx1"/>
            </w14:solidFill>
          </w14:textFill>
        </w:rPr>
        <w:fldChar w:fldCharType="end"/>
      </w:r>
    </w:p>
    <w:p w14:paraId="3E9343B7">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_Toc18710 </w:instrText>
      </w:r>
      <w:r>
        <w:rPr>
          <w:bCs/>
          <w:caps/>
          <w:szCs w:val="20"/>
          <w:highlight w:val="none"/>
        </w:rPr>
        <w:fldChar w:fldCharType="separate"/>
      </w:r>
      <w:r>
        <w:rPr>
          <w:rFonts w:ascii="Times New Roman" w:hAnsiTheme="minorEastAsia" w:eastAsiaTheme="minorEastAsia"/>
          <w:szCs w:val="21"/>
          <w:highlight w:val="none"/>
        </w:rPr>
        <w:t>二、评审标准</w:t>
      </w:r>
      <w:r>
        <w:rPr>
          <w:highlight w:val="none"/>
        </w:rPr>
        <w:tab/>
      </w:r>
      <w:r>
        <w:rPr>
          <w:highlight w:val="none"/>
        </w:rPr>
        <w:fldChar w:fldCharType="begin"/>
      </w:r>
      <w:r>
        <w:rPr>
          <w:highlight w:val="none"/>
        </w:rPr>
        <w:instrText xml:space="preserve"> PAGEREF _Toc18710 \h </w:instrText>
      </w:r>
      <w:r>
        <w:rPr>
          <w:highlight w:val="none"/>
        </w:rPr>
        <w:fldChar w:fldCharType="separate"/>
      </w:r>
      <w:r>
        <w:rPr>
          <w:highlight w:val="none"/>
        </w:rPr>
        <w:t>20</w:t>
      </w:r>
      <w:r>
        <w:rPr>
          <w:highlight w:val="none"/>
        </w:rPr>
        <w:fldChar w:fldCharType="end"/>
      </w:r>
      <w:r>
        <w:rPr>
          <w:bCs/>
          <w:caps/>
          <w:color w:val="000000" w:themeColor="text1"/>
          <w:szCs w:val="20"/>
          <w:highlight w:val="none"/>
          <w14:textFill>
            <w14:solidFill>
              <w14:schemeClr w14:val="tx1"/>
            </w14:solidFill>
          </w14:textFill>
        </w:rPr>
        <w:fldChar w:fldCharType="end"/>
      </w:r>
    </w:p>
    <w:p w14:paraId="6FA7FCA0">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_Toc1482 </w:instrText>
      </w:r>
      <w:r>
        <w:rPr>
          <w:bCs/>
          <w:caps/>
          <w:szCs w:val="20"/>
          <w:highlight w:val="none"/>
        </w:rPr>
        <w:fldChar w:fldCharType="separate"/>
      </w:r>
      <w:r>
        <w:rPr>
          <w:rFonts w:ascii="Times New Roman" w:hAnsiTheme="minorEastAsia" w:eastAsiaTheme="minorEastAsia"/>
          <w:szCs w:val="21"/>
          <w:highlight w:val="none"/>
        </w:rPr>
        <w:t>三、评审程序</w:t>
      </w:r>
      <w:r>
        <w:rPr>
          <w:highlight w:val="none"/>
        </w:rPr>
        <w:tab/>
      </w:r>
      <w:r>
        <w:rPr>
          <w:highlight w:val="none"/>
        </w:rPr>
        <w:fldChar w:fldCharType="begin"/>
      </w:r>
      <w:r>
        <w:rPr>
          <w:highlight w:val="none"/>
        </w:rPr>
        <w:instrText xml:space="preserve"> PAGEREF _Toc1482 \h </w:instrText>
      </w:r>
      <w:r>
        <w:rPr>
          <w:highlight w:val="none"/>
        </w:rPr>
        <w:fldChar w:fldCharType="separate"/>
      </w:r>
      <w:r>
        <w:rPr>
          <w:highlight w:val="none"/>
        </w:rPr>
        <w:t>20</w:t>
      </w:r>
      <w:r>
        <w:rPr>
          <w:highlight w:val="none"/>
        </w:rPr>
        <w:fldChar w:fldCharType="end"/>
      </w:r>
      <w:r>
        <w:rPr>
          <w:bCs/>
          <w:caps/>
          <w:color w:val="000000" w:themeColor="text1"/>
          <w:szCs w:val="20"/>
          <w:highlight w:val="none"/>
          <w14:textFill>
            <w14:solidFill>
              <w14:schemeClr w14:val="tx1"/>
            </w14:solidFill>
          </w14:textFill>
        </w:rPr>
        <w:fldChar w:fldCharType="end"/>
      </w:r>
    </w:p>
    <w:p w14:paraId="462DE187">
      <w:pPr>
        <w:pStyle w:val="33"/>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_Toc24756 </w:instrText>
      </w:r>
      <w:r>
        <w:rPr>
          <w:bCs/>
          <w:caps/>
          <w:szCs w:val="20"/>
          <w:highlight w:val="none"/>
        </w:rPr>
        <w:fldChar w:fldCharType="separate"/>
      </w:r>
      <w:r>
        <w:rPr>
          <w:bCs/>
          <w:szCs w:val="48"/>
          <w:highlight w:val="none"/>
        </w:rPr>
        <w:t>第四章</w:t>
      </w:r>
      <w:r>
        <w:rPr>
          <w:rFonts w:hint="eastAsia"/>
          <w:bCs/>
          <w:szCs w:val="48"/>
          <w:highlight w:val="none"/>
        </w:rPr>
        <w:t xml:space="preserve"> </w:t>
      </w:r>
      <w:r>
        <w:rPr>
          <w:bCs/>
          <w:szCs w:val="48"/>
          <w:highlight w:val="none"/>
        </w:rPr>
        <w:t>合同条款及格式</w:t>
      </w:r>
      <w:r>
        <w:rPr>
          <w:highlight w:val="none"/>
        </w:rPr>
        <w:tab/>
      </w:r>
      <w:r>
        <w:rPr>
          <w:highlight w:val="none"/>
        </w:rPr>
        <w:fldChar w:fldCharType="begin"/>
      </w:r>
      <w:r>
        <w:rPr>
          <w:highlight w:val="none"/>
        </w:rPr>
        <w:instrText xml:space="preserve"> PAGEREF _Toc24756 \h </w:instrText>
      </w:r>
      <w:r>
        <w:rPr>
          <w:highlight w:val="none"/>
        </w:rPr>
        <w:fldChar w:fldCharType="separate"/>
      </w:r>
      <w:r>
        <w:rPr>
          <w:highlight w:val="none"/>
        </w:rPr>
        <w:t>24</w:t>
      </w:r>
      <w:r>
        <w:rPr>
          <w:highlight w:val="none"/>
        </w:rPr>
        <w:fldChar w:fldCharType="end"/>
      </w:r>
      <w:r>
        <w:rPr>
          <w:bCs/>
          <w:caps/>
          <w:color w:val="000000" w:themeColor="text1"/>
          <w:szCs w:val="20"/>
          <w:highlight w:val="none"/>
          <w14:textFill>
            <w14:solidFill>
              <w14:schemeClr w14:val="tx1"/>
            </w14:solidFill>
          </w14:textFill>
        </w:rPr>
        <w:fldChar w:fldCharType="end"/>
      </w:r>
    </w:p>
    <w:p w14:paraId="303E836A">
      <w:pPr>
        <w:pStyle w:val="33"/>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_Toc28246 </w:instrText>
      </w:r>
      <w:r>
        <w:rPr>
          <w:bCs/>
          <w:caps/>
          <w:szCs w:val="20"/>
          <w:highlight w:val="none"/>
        </w:rPr>
        <w:fldChar w:fldCharType="separate"/>
      </w:r>
      <w:r>
        <w:rPr>
          <w:rFonts w:ascii="Times New Roman" w:hAnsi="黑体"/>
          <w:szCs w:val="36"/>
          <w:highlight w:val="none"/>
        </w:rPr>
        <w:t>第五章</w:t>
      </w:r>
      <w:r>
        <w:rPr>
          <w:rFonts w:hint="eastAsia" w:ascii="Times New Roman" w:hAnsi="黑体"/>
          <w:szCs w:val="36"/>
          <w:highlight w:val="none"/>
        </w:rPr>
        <w:t xml:space="preserve"> </w:t>
      </w:r>
      <w:r>
        <w:rPr>
          <w:rFonts w:hint="eastAsia" w:ascii="Times New Roman" w:hAnsi="黑体"/>
          <w:szCs w:val="36"/>
          <w:highlight w:val="none"/>
          <w:lang w:val="en-US" w:eastAsia="zh-CN"/>
        </w:rPr>
        <w:t>报价清单及控制价明细</w:t>
      </w:r>
      <w:r>
        <w:rPr>
          <w:highlight w:val="none"/>
        </w:rPr>
        <w:tab/>
      </w:r>
      <w:r>
        <w:rPr>
          <w:highlight w:val="none"/>
        </w:rPr>
        <w:fldChar w:fldCharType="begin"/>
      </w:r>
      <w:r>
        <w:rPr>
          <w:highlight w:val="none"/>
        </w:rPr>
        <w:instrText xml:space="preserve"> PAGEREF _Toc28246 \h </w:instrText>
      </w:r>
      <w:r>
        <w:rPr>
          <w:highlight w:val="none"/>
        </w:rPr>
        <w:fldChar w:fldCharType="separate"/>
      </w:r>
      <w:r>
        <w:rPr>
          <w:highlight w:val="none"/>
        </w:rPr>
        <w:t>35</w:t>
      </w:r>
      <w:r>
        <w:rPr>
          <w:highlight w:val="none"/>
        </w:rPr>
        <w:fldChar w:fldCharType="end"/>
      </w:r>
      <w:r>
        <w:rPr>
          <w:bCs/>
          <w:caps/>
          <w:color w:val="000000" w:themeColor="text1"/>
          <w:szCs w:val="20"/>
          <w:highlight w:val="none"/>
          <w14:textFill>
            <w14:solidFill>
              <w14:schemeClr w14:val="tx1"/>
            </w14:solidFill>
          </w14:textFill>
        </w:rPr>
        <w:fldChar w:fldCharType="end"/>
      </w:r>
    </w:p>
    <w:p w14:paraId="0F141577">
      <w:pPr>
        <w:pStyle w:val="33"/>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_Toc13827 </w:instrText>
      </w:r>
      <w:r>
        <w:rPr>
          <w:bCs/>
          <w:caps/>
          <w:szCs w:val="20"/>
          <w:highlight w:val="none"/>
        </w:rPr>
        <w:fldChar w:fldCharType="separate"/>
      </w:r>
      <w:r>
        <w:rPr>
          <w:rFonts w:ascii="Times New Roman" w:hAnsi="Times New Roman"/>
          <w:szCs w:val="36"/>
          <w:highlight w:val="none"/>
        </w:rPr>
        <w:t>第</w:t>
      </w:r>
      <w:r>
        <w:rPr>
          <w:rFonts w:hint="eastAsia" w:ascii="Times New Roman" w:hAnsi="Times New Roman"/>
          <w:szCs w:val="36"/>
          <w:highlight w:val="none"/>
        </w:rPr>
        <w:t>六</w:t>
      </w:r>
      <w:r>
        <w:rPr>
          <w:rFonts w:ascii="Times New Roman" w:hAnsi="Times New Roman"/>
          <w:szCs w:val="36"/>
          <w:highlight w:val="none"/>
        </w:rPr>
        <w:t>章</w:t>
      </w:r>
      <w:r>
        <w:rPr>
          <w:rFonts w:hint="eastAsia" w:ascii="Times New Roman" w:hAnsi="Times New Roman"/>
          <w:szCs w:val="36"/>
          <w:highlight w:val="none"/>
        </w:rPr>
        <w:t xml:space="preserve"> </w:t>
      </w:r>
      <w:r>
        <w:rPr>
          <w:rFonts w:ascii="Times New Roman" w:hAnsi="Times New Roman"/>
          <w:szCs w:val="36"/>
          <w:highlight w:val="none"/>
        </w:rPr>
        <w:t>响应文件格式</w:t>
      </w:r>
      <w:r>
        <w:rPr>
          <w:highlight w:val="none"/>
        </w:rPr>
        <w:tab/>
      </w:r>
      <w:r>
        <w:rPr>
          <w:highlight w:val="none"/>
        </w:rPr>
        <w:fldChar w:fldCharType="begin"/>
      </w:r>
      <w:r>
        <w:rPr>
          <w:highlight w:val="none"/>
        </w:rPr>
        <w:instrText xml:space="preserve"> PAGEREF _Toc13827 \h </w:instrText>
      </w:r>
      <w:r>
        <w:rPr>
          <w:highlight w:val="none"/>
        </w:rPr>
        <w:fldChar w:fldCharType="separate"/>
      </w:r>
      <w:r>
        <w:rPr>
          <w:highlight w:val="none"/>
        </w:rPr>
        <w:t>48</w:t>
      </w:r>
      <w:r>
        <w:rPr>
          <w:highlight w:val="none"/>
        </w:rPr>
        <w:fldChar w:fldCharType="end"/>
      </w:r>
      <w:r>
        <w:rPr>
          <w:bCs/>
          <w:caps/>
          <w:color w:val="000000" w:themeColor="text1"/>
          <w:szCs w:val="20"/>
          <w:highlight w:val="none"/>
          <w14:textFill>
            <w14:solidFill>
              <w14:schemeClr w14:val="tx1"/>
            </w14:solidFill>
          </w14:textFill>
        </w:rPr>
        <w:fldChar w:fldCharType="end"/>
      </w:r>
    </w:p>
    <w:p w14:paraId="3A831D0D">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_Toc27187 </w:instrText>
      </w:r>
      <w:r>
        <w:rPr>
          <w:bCs/>
          <w:caps/>
          <w:szCs w:val="20"/>
          <w:highlight w:val="none"/>
        </w:rPr>
        <w:fldChar w:fldCharType="separate"/>
      </w:r>
      <w:r>
        <w:rPr>
          <w:rFonts w:ascii="Times New Roman" w:hAnsi="Times New Roman"/>
          <w:highlight w:val="none"/>
        </w:rPr>
        <w:t>一、响应函</w:t>
      </w:r>
      <w:r>
        <w:rPr>
          <w:highlight w:val="none"/>
        </w:rPr>
        <w:tab/>
      </w:r>
      <w:r>
        <w:rPr>
          <w:highlight w:val="none"/>
        </w:rPr>
        <w:fldChar w:fldCharType="begin"/>
      </w:r>
      <w:r>
        <w:rPr>
          <w:highlight w:val="none"/>
        </w:rPr>
        <w:instrText xml:space="preserve"> PAGEREF _Toc27187 \h </w:instrText>
      </w:r>
      <w:r>
        <w:rPr>
          <w:highlight w:val="none"/>
        </w:rPr>
        <w:fldChar w:fldCharType="separate"/>
      </w:r>
      <w:r>
        <w:rPr>
          <w:highlight w:val="none"/>
        </w:rPr>
        <w:t>50</w:t>
      </w:r>
      <w:r>
        <w:rPr>
          <w:highlight w:val="none"/>
        </w:rPr>
        <w:fldChar w:fldCharType="end"/>
      </w:r>
      <w:r>
        <w:rPr>
          <w:bCs/>
          <w:caps/>
          <w:color w:val="000000" w:themeColor="text1"/>
          <w:szCs w:val="20"/>
          <w:highlight w:val="none"/>
          <w14:textFill>
            <w14:solidFill>
              <w14:schemeClr w14:val="tx1"/>
            </w14:solidFill>
          </w14:textFill>
        </w:rPr>
        <w:fldChar w:fldCharType="end"/>
      </w:r>
    </w:p>
    <w:p w14:paraId="4A662940">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_Toc21801 </w:instrText>
      </w:r>
      <w:r>
        <w:rPr>
          <w:bCs/>
          <w:caps/>
          <w:szCs w:val="20"/>
          <w:highlight w:val="none"/>
        </w:rPr>
        <w:fldChar w:fldCharType="separate"/>
      </w:r>
      <w:r>
        <w:rPr>
          <w:rFonts w:ascii="Times New Roman" w:hAnsi="Times New Roman"/>
          <w:highlight w:val="none"/>
        </w:rPr>
        <w:t>二、法定代表人身份证明</w:t>
      </w:r>
      <w:r>
        <w:rPr>
          <w:highlight w:val="none"/>
        </w:rPr>
        <w:tab/>
      </w:r>
      <w:r>
        <w:rPr>
          <w:highlight w:val="none"/>
        </w:rPr>
        <w:fldChar w:fldCharType="begin"/>
      </w:r>
      <w:r>
        <w:rPr>
          <w:highlight w:val="none"/>
        </w:rPr>
        <w:instrText xml:space="preserve"> PAGEREF _Toc21801 \h </w:instrText>
      </w:r>
      <w:r>
        <w:rPr>
          <w:highlight w:val="none"/>
        </w:rPr>
        <w:fldChar w:fldCharType="separate"/>
      </w:r>
      <w:r>
        <w:rPr>
          <w:highlight w:val="none"/>
        </w:rPr>
        <w:t>51</w:t>
      </w:r>
      <w:r>
        <w:rPr>
          <w:highlight w:val="none"/>
        </w:rPr>
        <w:fldChar w:fldCharType="end"/>
      </w:r>
      <w:r>
        <w:rPr>
          <w:bCs/>
          <w:caps/>
          <w:color w:val="000000" w:themeColor="text1"/>
          <w:szCs w:val="20"/>
          <w:highlight w:val="none"/>
          <w14:textFill>
            <w14:solidFill>
              <w14:schemeClr w14:val="tx1"/>
            </w14:solidFill>
          </w14:textFill>
        </w:rPr>
        <w:fldChar w:fldCharType="end"/>
      </w:r>
    </w:p>
    <w:p w14:paraId="2B3E5056">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_Toc16932 </w:instrText>
      </w:r>
      <w:r>
        <w:rPr>
          <w:bCs/>
          <w:caps/>
          <w:szCs w:val="20"/>
          <w:highlight w:val="none"/>
        </w:rPr>
        <w:fldChar w:fldCharType="separate"/>
      </w:r>
      <w:r>
        <w:rPr>
          <w:rFonts w:ascii="Times New Roman" w:hAnsi="Times New Roman"/>
          <w:highlight w:val="none"/>
        </w:rPr>
        <w:t>三、法定代表人授权委托书</w:t>
      </w:r>
      <w:r>
        <w:rPr>
          <w:highlight w:val="none"/>
        </w:rPr>
        <w:tab/>
      </w:r>
      <w:r>
        <w:rPr>
          <w:highlight w:val="none"/>
        </w:rPr>
        <w:fldChar w:fldCharType="begin"/>
      </w:r>
      <w:r>
        <w:rPr>
          <w:highlight w:val="none"/>
        </w:rPr>
        <w:instrText xml:space="preserve"> PAGEREF _Toc16932 \h </w:instrText>
      </w:r>
      <w:r>
        <w:rPr>
          <w:highlight w:val="none"/>
        </w:rPr>
        <w:fldChar w:fldCharType="separate"/>
      </w:r>
      <w:r>
        <w:rPr>
          <w:highlight w:val="none"/>
        </w:rPr>
        <w:t>52</w:t>
      </w:r>
      <w:r>
        <w:rPr>
          <w:highlight w:val="none"/>
        </w:rPr>
        <w:fldChar w:fldCharType="end"/>
      </w:r>
      <w:r>
        <w:rPr>
          <w:bCs/>
          <w:caps/>
          <w:color w:val="000000" w:themeColor="text1"/>
          <w:szCs w:val="20"/>
          <w:highlight w:val="none"/>
          <w14:textFill>
            <w14:solidFill>
              <w14:schemeClr w14:val="tx1"/>
            </w14:solidFill>
          </w14:textFill>
        </w:rPr>
        <w:fldChar w:fldCharType="end"/>
      </w:r>
    </w:p>
    <w:p w14:paraId="0CFC2099">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_Toc25677 </w:instrText>
      </w:r>
      <w:r>
        <w:rPr>
          <w:bCs/>
          <w:caps/>
          <w:szCs w:val="20"/>
          <w:highlight w:val="none"/>
        </w:rPr>
        <w:fldChar w:fldCharType="separate"/>
      </w:r>
      <w:r>
        <w:rPr>
          <w:rFonts w:ascii="Times New Roman" w:hAnsi="Times New Roman"/>
          <w:highlight w:val="none"/>
        </w:rPr>
        <w:t>四、供应商承诺书</w:t>
      </w:r>
      <w:r>
        <w:rPr>
          <w:highlight w:val="none"/>
        </w:rPr>
        <w:tab/>
      </w:r>
      <w:r>
        <w:rPr>
          <w:highlight w:val="none"/>
        </w:rPr>
        <w:fldChar w:fldCharType="begin"/>
      </w:r>
      <w:r>
        <w:rPr>
          <w:highlight w:val="none"/>
        </w:rPr>
        <w:instrText xml:space="preserve"> PAGEREF _Toc25677 \h </w:instrText>
      </w:r>
      <w:r>
        <w:rPr>
          <w:highlight w:val="none"/>
        </w:rPr>
        <w:fldChar w:fldCharType="separate"/>
      </w:r>
      <w:r>
        <w:rPr>
          <w:highlight w:val="none"/>
        </w:rPr>
        <w:t>53</w:t>
      </w:r>
      <w:r>
        <w:rPr>
          <w:highlight w:val="none"/>
        </w:rPr>
        <w:fldChar w:fldCharType="end"/>
      </w:r>
      <w:r>
        <w:rPr>
          <w:bCs/>
          <w:caps/>
          <w:color w:val="000000" w:themeColor="text1"/>
          <w:szCs w:val="20"/>
          <w:highlight w:val="none"/>
          <w14:textFill>
            <w14:solidFill>
              <w14:schemeClr w14:val="tx1"/>
            </w14:solidFill>
          </w14:textFill>
        </w:rPr>
        <w:fldChar w:fldCharType="end"/>
      </w:r>
    </w:p>
    <w:p w14:paraId="1F9082C7">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_Toc10869 </w:instrText>
      </w:r>
      <w:r>
        <w:rPr>
          <w:bCs/>
          <w:caps/>
          <w:szCs w:val="20"/>
          <w:highlight w:val="none"/>
        </w:rPr>
        <w:fldChar w:fldCharType="separate"/>
      </w:r>
      <w:r>
        <w:rPr>
          <w:rFonts w:hint="eastAsia" w:ascii="Times New Roman" w:hAnsi="Times New Roman"/>
          <w:bCs/>
          <w:szCs w:val="32"/>
          <w:highlight w:val="none"/>
        </w:rPr>
        <w:t>五</w:t>
      </w:r>
      <w:r>
        <w:rPr>
          <w:rFonts w:ascii="Times New Roman" w:hAnsi="Times New Roman"/>
          <w:bCs/>
          <w:szCs w:val="32"/>
          <w:highlight w:val="none"/>
        </w:rPr>
        <w:t>、</w:t>
      </w:r>
      <w:r>
        <w:rPr>
          <w:bCs/>
          <w:szCs w:val="32"/>
          <w:highlight w:val="none"/>
        </w:rPr>
        <w:t>供应商基本情况表</w:t>
      </w:r>
      <w:r>
        <w:rPr>
          <w:highlight w:val="none"/>
        </w:rPr>
        <w:tab/>
      </w:r>
      <w:r>
        <w:rPr>
          <w:highlight w:val="none"/>
        </w:rPr>
        <w:fldChar w:fldCharType="begin"/>
      </w:r>
      <w:r>
        <w:rPr>
          <w:highlight w:val="none"/>
        </w:rPr>
        <w:instrText xml:space="preserve"> PAGEREF _Toc10869 \h </w:instrText>
      </w:r>
      <w:r>
        <w:rPr>
          <w:highlight w:val="none"/>
        </w:rPr>
        <w:fldChar w:fldCharType="separate"/>
      </w:r>
      <w:r>
        <w:rPr>
          <w:highlight w:val="none"/>
        </w:rPr>
        <w:t>54</w:t>
      </w:r>
      <w:r>
        <w:rPr>
          <w:highlight w:val="none"/>
        </w:rPr>
        <w:fldChar w:fldCharType="end"/>
      </w:r>
      <w:r>
        <w:rPr>
          <w:bCs/>
          <w:caps/>
          <w:color w:val="000000" w:themeColor="text1"/>
          <w:szCs w:val="20"/>
          <w:highlight w:val="none"/>
          <w14:textFill>
            <w14:solidFill>
              <w14:schemeClr w14:val="tx1"/>
            </w14:solidFill>
          </w14:textFill>
        </w:rPr>
        <w:fldChar w:fldCharType="end"/>
      </w:r>
    </w:p>
    <w:p w14:paraId="4790D219">
      <w:pPr>
        <w:pStyle w:val="23"/>
        <w:tabs>
          <w:tab w:val="right" w:leader="dot" w:pos="8846"/>
        </w:tabs>
        <w:ind w:left="0" w:leftChars="0" w:firstLine="600" w:firstLineChars="300"/>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_Toc23104 </w:instrText>
      </w:r>
      <w:r>
        <w:rPr>
          <w:bCs/>
          <w:caps/>
          <w:szCs w:val="20"/>
          <w:highlight w:val="none"/>
        </w:rPr>
        <w:fldChar w:fldCharType="separate"/>
      </w:r>
      <w:r>
        <w:rPr>
          <w:rFonts w:hint="eastAsia" w:eastAsia="宋体" w:asciiTheme="minorHAnsi" w:hAnsiTheme="minorHAnsi" w:cstheme="minorHAnsi"/>
          <w:bCs/>
          <w:i w:val="0"/>
          <w:iCs w:val="0"/>
          <w:smallCaps/>
          <w:kern w:val="2"/>
          <w:sz w:val="20"/>
          <w:szCs w:val="32"/>
          <w:highlight w:val="none"/>
          <w:lang w:val="en-US" w:eastAsia="zh-CN" w:bidi="ar-SA"/>
        </w:rPr>
        <w:t>六、项目负责人简历表</w:t>
      </w:r>
      <w:r>
        <w:rPr>
          <w:highlight w:val="none"/>
        </w:rPr>
        <w:tab/>
      </w:r>
      <w:r>
        <w:rPr>
          <w:i w:val="0"/>
          <w:iCs w:val="0"/>
          <w:highlight w:val="none"/>
        </w:rPr>
        <w:fldChar w:fldCharType="begin"/>
      </w:r>
      <w:r>
        <w:rPr>
          <w:i w:val="0"/>
          <w:iCs w:val="0"/>
          <w:highlight w:val="none"/>
        </w:rPr>
        <w:instrText xml:space="preserve"> PAGEREF _Toc23104 \h </w:instrText>
      </w:r>
      <w:r>
        <w:rPr>
          <w:i w:val="0"/>
          <w:iCs w:val="0"/>
          <w:highlight w:val="none"/>
        </w:rPr>
        <w:fldChar w:fldCharType="separate"/>
      </w:r>
      <w:r>
        <w:rPr>
          <w:i w:val="0"/>
          <w:iCs w:val="0"/>
          <w:highlight w:val="none"/>
        </w:rPr>
        <w:t>55</w:t>
      </w:r>
      <w:r>
        <w:rPr>
          <w:i w:val="0"/>
          <w:iCs w:val="0"/>
          <w:highlight w:val="none"/>
        </w:rPr>
        <w:fldChar w:fldCharType="end"/>
      </w:r>
      <w:r>
        <w:rPr>
          <w:bCs/>
          <w:caps/>
          <w:color w:val="000000" w:themeColor="text1"/>
          <w:szCs w:val="20"/>
          <w:highlight w:val="none"/>
          <w14:textFill>
            <w14:solidFill>
              <w14:schemeClr w14:val="tx1"/>
            </w14:solidFill>
          </w14:textFill>
        </w:rPr>
        <w:fldChar w:fldCharType="end"/>
      </w:r>
    </w:p>
    <w:p w14:paraId="3A3E457E">
      <w:pPr>
        <w:pStyle w:val="39"/>
        <w:tabs>
          <w:tab w:val="right" w:leader="dot" w:pos="8846"/>
        </w:tabs>
        <w:rPr>
          <w:highlight w:val="none"/>
        </w:rPr>
      </w:pPr>
      <w:r>
        <w:rPr>
          <w:bCs/>
          <w:caps/>
          <w:color w:val="000000" w:themeColor="text1"/>
          <w:szCs w:val="20"/>
          <w:highlight w:val="none"/>
          <w14:textFill>
            <w14:solidFill>
              <w14:schemeClr w14:val="tx1"/>
            </w14:solidFill>
          </w14:textFill>
        </w:rPr>
        <w:fldChar w:fldCharType="begin"/>
      </w:r>
      <w:r>
        <w:rPr>
          <w:bCs/>
          <w:caps/>
          <w:szCs w:val="20"/>
          <w:highlight w:val="none"/>
        </w:rPr>
        <w:instrText xml:space="preserve"> HYPERLINK \l _Toc27527 </w:instrText>
      </w:r>
      <w:r>
        <w:rPr>
          <w:bCs/>
          <w:caps/>
          <w:szCs w:val="20"/>
          <w:highlight w:val="none"/>
        </w:rPr>
        <w:fldChar w:fldCharType="separate"/>
      </w:r>
      <w:r>
        <w:rPr>
          <w:rFonts w:hint="eastAsia" w:ascii="Times New Roman" w:hAnsi="Times New Roman"/>
          <w:highlight w:val="none"/>
        </w:rPr>
        <w:t>七</w:t>
      </w:r>
      <w:r>
        <w:rPr>
          <w:rFonts w:ascii="Times New Roman" w:hAnsi="Times New Roman"/>
          <w:highlight w:val="none"/>
        </w:rPr>
        <w:t>、其他资料（谈判保证金</w:t>
      </w:r>
      <w:r>
        <w:rPr>
          <w:rFonts w:hint="eastAsia" w:ascii="Times New Roman" w:hAnsi="Times New Roman"/>
          <w:highlight w:val="none"/>
          <w:lang w:eastAsia="zh-CN"/>
        </w:rPr>
        <w:t>缴纳</w:t>
      </w:r>
      <w:r>
        <w:rPr>
          <w:rFonts w:ascii="Times New Roman" w:hAnsi="Times New Roman"/>
          <w:highlight w:val="none"/>
        </w:rPr>
        <w:t>凭证等）</w:t>
      </w:r>
      <w:r>
        <w:rPr>
          <w:highlight w:val="none"/>
        </w:rPr>
        <w:tab/>
      </w:r>
      <w:r>
        <w:rPr>
          <w:highlight w:val="none"/>
        </w:rPr>
        <w:fldChar w:fldCharType="begin"/>
      </w:r>
      <w:r>
        <w:rPr>
          <w:highlight w:val="none"/>
        </w:rPr>
        <w:instrText xml:space="preserve"> PAGEREF _Toc27527 \h </w:instrText>
      </w:r>
      <w:r>
        <w:rPr>
          <w:highlight w:val="none"/>
        </w:rPr>
        <w:fldChar w:fldCharType="separate"/>
      </w:r>
      <w:r>
        <w:rPr>
          <w:highlight w:val="none"/>
        </w:rPr>
        <w:t>56</w:t>
      </w:r>
      <w:r>
        <w:rPr>
          <w:highlight w:val="none"/>
        </w:rPr>
        <w:fldChar w:fldCharType="end"/>
      </w:r>
      <w:r>
        <w:rPr>
          <w:bCs/>
          <w:caps/>
          <w:color w:val="000000" w:themeColor="text1"/>
          <w:szCs w:val="20"/>
          <w:highlight w:val="none"/>
          <w14:textFill>
            <w14:solidFill>
              <w14:schemeClr w14:val="tx1"/>
            </w14:solidFill>
          </w14:textFill>
        </w:rPr>
        <w:fldChar w:fldCharType="end"/>
      </w:r>
    </w:p>
    <w:p w14:paraId="25C6530A">
      <w:pPr>
        <w:ind w:firstLine="630" w:firstLineChars="300"/>
        <w:rPr>
          <w:rFonts w:hint="default"/>
          <w:b/>
          <w:bCs/>
          <w:caps/>
          <w:color w:val="000000" w:themeColor="text1"/>
          <w:sz w:val="20"/>
          <w:szCs w:val="20"/>
          <w:highlight w:val="none"/>
          <w:lang w:val="en-US"/>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1474" w:right="1474" w:bottom="1247" w:left="1587" w:header="851" w:footer="851" w:gutter="0"/>
          <w:pgBorders>
            <w:top w:val="none" w:sz="0" w:space="0"/>
            <w:left w:val="none" w:sz="0" w:space="0"/>
            <w:bottom w:val="none" w:sz="0" w:space="0"/>
            <w:right w:val="none" w:sz="0" w:space="0"/>
          </w:pgBorders>
          <w:cols w:space="0" w:num="1"/>
          <w:titlePg/>
          <w:docGrid w:linePitch="312" w:charSpace="0"/>
        </w:sectPr>
      </w:pPr>
      <w:r>
        <w:rPr>
          <w:bCs/>
          <w:caps/>
          <w:color w:val="000000" w:themeColor="text1"/>
          <w:szCs w:val="20"/>
          <w:highlight w:val="none"/>
          <w14:textFill>
            <w14:solidFill>
              <w14:schemeClr w14:val="tx1"/>
            </w14:solidFill>
          </w14:textFill>
        </w:rPr>
        <w:fldChar w:fldCharType="end"/>
      </w:r>
    </w:p>
    <w:p w14:paraId="20B280C8">
      <w:pPr>
        <w:pStyle w:val="2"/>
        <w:keepNext w:val="0"/>
        <w:snapToGrid w:val="0"/>
        <w:spacing w:before="300" w:after="200" w:line="400" w:lineRule="atLeast"/>
        <w:ind w:firstLine="0" w:firstLineChars="0"/>
        <w:jc w:val="center"/>
        <w:rPr>
          <w:rFonts w:hint="default" w:ascii="Times New Roman" w:hAnsi="Times New Roman" w:eastAsiaTheme="majorEastAsia"/>
          <w:bCs/>
          <w:color w:val="000000" w:themeColor="text1"/>
          <w:kern w:val="2"/>
          <w:szCs w:val="36"/>
          <w:highlight w:val="none"/>
          <w:lang w:val="en-US" w:eastAsia="zh-CN"/>
          <w14:textFill>
            <w14:solidFill>
              <w14:schemeClr w14:val="tx1"/>
            </w14:solidFill>
          </w14:textFill>
        </w:rPr>
      </w:pPr>
      <w:bookmarkStart w:id="10" w:name="_Toc1764"/>
      <w:r>
        <w:rPr>
          <w:rFonts w:ascii="Times New Roman" w:hAnsiTheme="majorEastAsia" w:eastAsiaTheme="majorEastAsia"/>
          <w:bCs/>
          <w:color w:val="000000" w:themeColor="text1"/>
          <w:kern w:val="2"/>
          <w:szCs w:val="36"/>
          <w:highlight w:val="none"/>
          <w14:textFill>
            <w14:solidFill>
              <w14:schemeClr w14:val="tx1"/>
            </w14:solidFill>
          </w14:textFill>
        </w:rPr>
        <w:t>第一章</w:t>
      </w:r>
      <w:r>
        <w:rPr>
          <w:rFonts w:hint="eastAsia" w:ascii="Times New Roman" w:hAnsiTheme="majorEastAsia" w:eastAsiaTheme="majorEastAsia"/>
          <w:bCs/>
          <w:color w:val="000000" w:themeColor="text1"/>
          <w:kern w:val="2"/>
          <w:szCs w:val="36"/>
          <w:highlight w:val="none"/>
          <w14:textFill>
            <w14:solidFill>
              <w14:schemeClr w14:val="tx1"/>
            </w14:solidFill>
          </w14:textFill>
        </w:rPr>
        <w:t xml:space="preserve"> </w:t>
      </w:r>
      <w:bookmarkEnd w:id="2"/>
      <w:bookmarkEnd w:id="10"/>
      <w:r>
        <w:rPr>
          <w:rFonts w:hint="eastAsia" w:ascii="Times New Roman" w:hAnsiTheme="majorEastAsia" w:eastAsiaTheme="majorEastAsia"/>
          <w:bCs/>
          <w:color w:val="000000" w:themeColor="text1"/>
          <w:kern w:val="2"/>
          <w:szCs w:val="36"/>
          <w:highlight w:val="none"/>
          <w:lang w:eastAsia="zh-CN"/>
          <w14:textFill>
            <w14:solidFill>
              <w14:schemeClr w14:val="tx1"/>
            </w14:solidFill>
          </w14:textFill>
        </w:rPr>
        <w:t>邀请竞争性谈判</w:t>
      </w:r>
      <w:r>
        <w:rPr>
          <w:rFonts w:hint="eastAsia" w:ascii="Times New Roman" w:hAnsiTheme="majorEastAsia" w:eastAsiaTheme="majorEastAsia"/>
          <w:bCs/>
          <w:color w:val="000000" w:themeColor="text1"/>
          <w:kern w:val="2"/>
          <w:szCs w:val="36"/>
          <w:highlight w:val="none"/>
          <w:lang w:val="en-US" w:eastAsia="zh-CN"/>
          <w14:textFill>
            <w14:solidFill>
              <w14:schemeClr w14:val="tx1"/>
            </w14:solidFill>
          </w14:textFill>
        </w:rPr>
        <w:t>公告</w:t>
      </w:r>
    </w:p>
    <w:p w14:paraId="492A2FD7">
      <w:pPr>
        <w:wordWrap w:val="0"/>
        <w:spacing w:line="360" w:lineRule="exact"/>
        <w:ind w:firstLine="420"/>
        <w:jc w:val="left"/>
        <w:rPr>
          <w:rFonts w:eastAsiaTheme="minorEastAsia"/>
          <w:color w:val="000000" w:themeColor="text1"/>
          <w:szCs w:val="21"/>
          <w:highlight w:val="none"/>
          <w14:textFill>
            <w14:solidFill>
              <w14:schemeClr w14:val="tx1"/>
            </w14:solidFill>
          </w14:textFill>
        </w:rPr>
      </w:pPr>
      <w:bookmarkStart w:id="11" w:name="_Toc398107833"/>
      <w:r>
        <w:rPr>
          <w:rFonts w:hAnsiTheme="minorEastAsia" w:eastAsiaTheme="minorEastAsia"/>
          <w:color w:val="000000" w:themeColor="text1"/>
          <w:szCs w:val="21"/>
          <w:highlight w:val="none"/>
          <w14:textFill>
            <w14:solidFill>
              <w14:schemeClr w14:val="tx1"/>
            </w14:solidFill>
          </w14:textFill>
        </w:rPr>
        <w:t>采购人</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int="eastAsia" w:hAnsiTheme="minorEastAsia" w:eastAsiaTheme="minorEastAsia"/>
          <w:color w:val="000000" w:themeColor="text1"/>
          <w:szCs w:val="21"/>
          <w:highlight w:val="none"/>
          <w:u w:val="single"/>
          <w:lang w:val="en-US" w:eastAsia="zh-CN"/>
          <w14:textFill>
            <w14:solidFill>
              <w14:schemeClr w14:val="tx1"/>
            </w14:solidFill>
          </w14:textFill>
        </w:rPr>
        <w:t>连云港徐圩建筑工程有限公司</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AnsiTheme="minorEastAsia" w:eastAsiaTheme="minorEastAsia"/>
          <w:color w:val="000000" w:themeColor="text1"/>
          <w:szCs w:val="21"/>
          <w:highlight w:val="none"/>
          <w14:textFill>
            <w14:solidFill>
              <w14:schemeClr w14:val="tx1"/>
            </w14:solidFill>
          </w14:textFill>
        </w:rPr>
        <w:t>对</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int="eastAsia" w:hAnsiTheme="minorEastAsia" w:eastAsiaTheme="minorEastAsia"/>
          <w:color w:val="000000" w:themeColor="text1"/>
          <w:szCs w:val="21"/>
          <w:highlight w:val="none"/>
          <w:u w:val="single"/>
          <w:lang w:eastAsia="zh-CN"/>
          <w14:textFill>
            <w14:solidFill>
              <w14:schemeClr w14:val="tx1"/>
            </w14:solidFill>
          </w14:textFill>
        </w:rPr>
        <w:t xml:space="preserve">长华化学新建二氧化碳聚醚及高性能多元醇项目雨水监控池、事故水池钢板及机械租赁 </w:t>
      </w:r>
      <w:r>
        <w:rPr>
          <w:rFonts w:hAnsiTheme="minorEastAsia" w:eastAsiaTheme="minorEastAsia"/>
          <w:color w:val="000000" w:themeColor="text1"/>
          <w:szCs w:val="21"/>
          <w:highlight w:val="none"/>
          <w14:textFill>
            <w14:solidFill>
              <w14:schemeClr w14:val="tx1"/>
            </w14:solidFill>
          </w14:textFill>
        </w:rPr>
        <w:t>进行竞争性谈判采购，现欢迎符合相关条件的供应商参加谈判。</w:t>
      </w:r>
    </w:p>
    <w:p w14:paraId="604152AD">
      <w:pPr>
        <w:adjustRightInd w:val="0"/>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1.</w:t>
      </w:r>
      <w:r>
        <w:rPr>
          <w:rFonts w:hAnsiTheme="minorEastAsia" w:eastAsiaTheme="minorEastAsia"/>
          <w:b/>
          <w:color w:val="000000" w:themeColor="text1"/>
          <w:szCs w:val="21"/>
          <w:highlight w:val="none"/>
          <w14:textFill>
            <w14:solidFill>
              <w14:schemeClr w14:val="tx1"/>
            </w14:solidFill>
          </w14:textFill>
        </w:rPr>
        <w:t>采购项目名称及编号</w:t>
      </w:r>
    </w:p>
    <w:p w14:paraId="35174EA8">
      <w:pPr>
        <w:keepNext w:val="0"/>
        <w:keepLines w:val="0"/>
        <w:pageBreakBefore w:val="0"/>
        <w:widowControl w:val="0"/>
        <w:kinsoku/>
        <w:wordWrap/>
        <w:overflowPunct/>
        <w:topLinePunct w:val="0"/>
        <w:autoSpaceDE/>
        <w:autoSpaceDN/>
        <w:bidi w:val="0"/>
        <w:adjustRightInd w:val="0"/>
        <w:snapToGrid/>
        <w:spacing w:line="360" w:lineRule="exact"/>
        <w:ind w:firstLine="420"/>
        <w:jc w:val="left"/>
        <w:textAlignment w:val="auto"/>
        <w:rPr>
          <w:rFonts w:hint="eastAsia" w:hAnsiTheme="minorEastAsia" w:eastAsiaTheme="minorEastAsia"/>
          <w:color w:val="000000" w:themeColor="text1"/>
          <w:szCs w:val="21"/>
          <w:highlight w:val="none"/>
          <w:u w:val="single"/>
          <w:lang w:eastAsia="zh-CN"/>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1.1</w:t>
      </w:r>
      <w:r>
        <w:rPr>
          <w:rFonts w:hAnsiTheme="minorEastAsia" w:eastAsiaTheme="minorEastAsia"/>
          <w:bCs/>
          <w:color w:val="000000" w:themeColor="text1"/>
          <w:szCs w:val="21"/>
          <w:highlight w:val="none"/>
          <w14:textFill>
            <w14:solidFill>
              <w14:schemeClr w14:val="tx1"/>
            </w14:solidFill>
          </w14:textFill>
        </w:rPr>
        <w:t>项目名称：</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int="eastAsia" w:hAnsiTheme="minorEastAsia" w:eastAsiaTheme="minorEastAsia"/>
          <w:color w:val="000000" w:themeColor="text1"/>
          <w:szCs w:val="21"/>
          <w:highlight w:val="none"/>
          <w:u w:val="single"/>
          <w:lang w:eastAsia="zh-CN"/>
          <w14:textFill>
            <w14:solidFill>
              <w14:schemeClr w14:val="tx1"/>
            </w14:solidFill>
          </w14:textFill>
        </w:rPr>
        <w:t xml:space="preserve">长华化学新建二氧化碳聚醚及高性能多元醇项目雨水监控池、事故水池钢板及机械租赁 </w:t>
      </w:r>
    </w:p>
    <w:p w14:paraId="0D2F5C5C">
      <w:pPr>
        <w:adjustRightInd w:val="0"/>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2.</w:t>
      </w:r>
      <w:r>
        <w:rPr>
          <w:rFonts w:hAnsiTheme="minorEastAsia" w:eastAsiaTheme="minorEastAsia"/>
          <w:b/>
          <w:color w:val="000000" w:themeColor="text1"/>
          <w:szCs w:val="21"/>
          <w:highlight w:val="none"/>
          <w14:textFill>
            <w14:solidFill>
              <w14:schemeClr w14:val="tx1"/>
            </w14:solidFill>
          </w14:textFill>
        </w:rPr>
        <w:t>项目概况</w:t>
      </w:r>
    </w:p>
    <w:p w14:paraId="6E384CCB">
      <w:pPr>
        <w:adjustRightInd w:val="0"/>
        <w:snapToGrid w:val="0"/>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w:t>
      </w:r>
      <w:r>
        <w:rPr>
          <w:rFonts w:hAnsiTheme="minorEastAsia" w:eastAsiaTheme="minorEastAsia"/>
          <w:color w:val="000000" w:themeColor="text1"/>
          <w:szCs w:val="21"/>
          <w:highlight w:val="none"/>
          <w14:textFill>
            <w14:solidFill>
              <w14:schemeClr w14:val="tx1"/>
            </w14:solidFill>
          </w14:textFill>
        </w:rPr>
        <w:t>项目地点：</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int="eastAsia" w:hAnsiTheme="minorEastAsia" w:eastAsiaTheme="minorEastAsia"/>
          <w:color w:val="000000" w:themeColor="text1"/>
          <w:szCs w:val="21"/>
          <w:highlight w:val="none"/>
          <w:u w:val="single"/>
          <w:lang w:val="en-US" w:eastAsia="zh-CN"/>
          <w14:textFill>
            <w14:solidFill>
              <w14:schemeClr w14:val="tx1"/>
            </w14:solidFill>
          </w14:textFill>
        </w:rPr>
        <w:t>连云港徐圩新区</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AnsiTheme="minorEastAsia" w:eastAsiaTheme="minorEastAsia"/>
          <w:color w:val="000000" w:themeColor="text1"/>
          <w:szCs w:val="21"/>
          <w:highlight w:val="none"/>
          <w14:textFill>
            <w14:solidFill>
              <w14:schemeClr w14:val="tx1"/>
            </w14:solidFill>
          </w14:textFill>
        </w:rPr>
        <w:t>；</w:t>
      </w:r>
    </w:p>
    <w:p w14:paraId="583F3887">
      <w:pPr>
        <w:adjustRightInd w:val="0"/>
        <w:snapToGrid w:val="0"/>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w:t>
      </w:r>
      <w:r>
        <w:rPr>
          <w:rFonts w:hAnsiTheme="minorEastAsia" w:eastAsiaTheme="minorEastAsia"/>
          <w:color w:val="000000" w:themeColor="text1"/>
          <w:szCs w:val="21"/>
          <w:highlight w:val="none"/>
          <w14:textFill>
            <w14:solidFill>
              <w14:schemeClr w14:val="tx1"/>
            </w14:solidFill>
          </w14:textFill>
        </w:rPr>
        <w:t>建设规模：</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int="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hAnsiTheme="minorEastAsia" w:eastAsiaTheme="minorEastAsia"/>
          <w:color w:val="000000" w:themeColor="text1"/>
          <w:szCs w:val="21"/>
          <w:highlight w:val="none"/>
          <w:u w:val="single"/>
          <w14:textFill>
            <w14:solidFill>
              <w14:schemeClr w14:val="tx1"/>
            </w14:solidFill>
          </w14:textFill>
        </w:rPr>
        <w:t xml:space="preserve"> </w:t>
      </w:r>
      <w:r>
        <w:rPr>
          <w:rFonts w:hAnsiTheme="minorEastAsia" w:eastAsiaTheme="minorEastAsia"/>
          <w:color w:val="000000" w:themeColor="text1"/>
          <w:szCs w:val="21"/>
          <w:highlight w:val="none"/>
          <w14:textFill>
            <w14:solidFill>
              <w14:schemeClr w14:val="tx1"/>
            </w14:solidFill>
          </w14:textFill>
        </w:rPr>
        <w:t>；</w:t>
      </w:r>
    </w:p>
    <w:p w14:paraId="1B9C56BB">
      <w:pPr>
        <w:pStyle w:val="18"/>
        <w:spacing w:after="0" w:line="360" w:lineRule="exact"/>
        <w:ind w:firstLine="420"/>
        <w:jc w:val="left"/>
        <w:rPr>
          <w:rFonts w:hAnsiTheme="minorEastAsia" w:eastAsiaTheme="minorEastAsia"/>
          <w:color w:val="auto"/>
          <w:szCs w:val="21"/>
          <w:highlight w:val="none"/>
        </w:rPr>
      </w:pPr>
      <w:r>
        <w:rPr>
          <w:rFonts w:eastAsiaTheme="minorEastAsia"/>
          <w:color w:val="000000" w:themeColor="text1"/>
          <w:szCs w:val="21"/>
          <w:highlight w:val="none"/>
          <w14:textFill>
            <w14:solidFill>
              <w14:schemeClr w14:val="tx1"/>
            </w14:solidFill>
          </w14:textFill>
        </w:rPr>
        <w:t xml:space="preserve">2.3 </w:t>
      </w:r>
      <w:r>
        <w:rPr>
          <w:rFonts w:hAnsiTheme="minorEastAsia" w:eastAsiaTheme="minorEastAsia"/>
          <w:color w:val="000000" w:themeColor="text1"/>
          <w:szCs w:val="21"/>
          <w:highlight w:val="none"/>
          <w14:textFill>
            <w14:solidFill>
              <w14:schemeClr w14:val="tx1"/>
            </w14:solidFill>
          </w14:textFill>
        </w:rPr>
        <w:t>工期要求：</w:t>
      </w:r>
      <w:r>
        <w:rPr>
          <w:rFonts w:hint="eastAsia" w:eastAsiaTheme="minorEastAsia"/>
          <w:color w:val="FF0000"/>
          <w:szCs w:val="21"/>
          <w:highlight w:val="none"/>
          <w:u w:val="single"/>
        </w:rPr>
        <w:t xml:space="preserve"> </w:t>
      </w:r>
      <w:r>
        <w:rPr>
          <w:rFonts w:hint="eastAsia" w:eastAsiaTheme="minorEastAsia"/>
          <w:b/>
          <w:bCs/>
          <w:color w:val="FF0000"/>
          <w:szCs w:val="21"/>
          <w:highlight w:val="none"/>
          <w:u w:val="single"/>
          <w:lang w:val="en-US" w:eastAsia="zh-CN"/>
        </w:rPr>
        <w:t xml:space="preserve">20 </w:t>
      </w:r>
      <w:r>
        <w:rPr>
          <w:rFonts w:hAnsiTheme="minorEastAsia" w:eastAsiaTheme="minorEastAsia"/>
          <w:color w:val="FF0000"/>
          <w:szCs w:val="21"/>
          <w:highlight w:val="none"/>
        </w:rPr>
        <w:t>日历天</w:t>
      </w:r>
      <w:r>
        <w:rPr>
          <w:rFonts w:hint="eastAsia" w:eastAsiaTheme="minorEastAsia"/>
          <w:color w:val="auto"/>
          <w:szCs w:val="21"/>
          <w:highlight w:val="none"/>
          <w:lang w:val="en-US" w:eastAsia="zh-CN"/>
        </w:rPr>
        <w:t>，</w:t>
      </w:r>
      <w:r>
        <w:rPr>
          <w:rFonts w:hAnsiTheme="minorEastAsia" w:eastAsiaTheme="minorEastAsia"/>
          <w:color w:val="auto"/>
          <w:szCs w:val="21"/>
          <w:highlight w:val="none"/>
        </w:rPr>
        <w:t>实际开始时间以采购人通知为准；</w:t>
      </w:r>
    </w:p>
    <w:p w14:paraId="4026507F">
      <w:pPr>
        <w:pStyle w:val="18"/>
        <w:spacing w:after="0" w:line="360" w:lineRule="exact"/>
        <w:ind w:firstLine="420"/>
        <w:jc w:val="left"/>
        <w:rPr>
          <w:rFonts w:hint="eastAsia" w:hAnsiTheme="minorEastAsia" w:eastAsiaTheme="minorEastAsia"/>
          <w:b/>
          <w:bCs/>
          <w:color w:val="000000" w:themeColor="text1"/>
          <w:szCs w:val="21"/>
          <w:highlight w:val="none"/>
          <w:lang w:val="en-US" w:eastAsia="zh-CN"/>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2.4 </w:t>
      </w:r>
      <w:r>
        <w:rPr>
          <w:rFonts w:hint="eastAsia" w:hAnsiTheme="minorEastAsia" w:eastAsiaTheme="minorEastAsia"/>
          <w:color w:val="000000" w:themeColor="text1"/>
          <w:szCs w:val="21"/>
          <w:highlight w:val="none"/>
          <w14:textFill>
            <w14:solidFill>
              <w14:schemeClr w14:val="tx1"/>
            </w14:solidFill>
          </w14:textFill>
        </w:rPr>
        <w:t>采购</w:t>
      </w:r>
      <w:r>
        <w:rPr>
          <w:rFonts w:hAnsiTheme="minorEastAsia" w:eastAsiaTheme="minorEastAsia"/>
          <w:color w:val="000000" w:themeColor="text1"/>
          <w:szCs w:val="21"/>
          <w:highlight w:val="none"/>
          <w14:textFill>
            <w14:solidFill>
              <w14:schemeClr w14:val="tx1"/>
            </w14:solidFill>
          </w14:textFill>
        </w:rPr>
        <w:t>控制价：</w:t>
      </w:r>
      <w:r>
        <w:rPr>
          <w:rFonts w:hint="eastAsia" w:eastAsiaTheme="minorEastAsia"/>
          <w:b/>
          <w:bCs/>
          <w:color w:val="000000" w:themeColor="text1"/>
          <w:szCs w:val="21"/>
          <w:highlight w:val="none"/>
          <w:u w:val="single"/>
          <w:lang w:val="en-US" w:eastAsia="zh-CN"/>
          <w14:textFill>
            <w14:solidFill>
              <w14:schemeClr w14:val="tx1"/>
            </w14:solidFill>
          </w14:textFill>
        </w:rPr>
        <w:t>4067231.28</w:t>
      </w:r>
      <w:r>
        <w:rPr>
          <w:rFonts w:hint="eastAsia" w:eastAsiaTheme="minorEastAsia"/>
          <w:b/>
          <w:bCs/>
          <w:color w:val="000000" w:themeColor="text1"/>
          <w:szCs w:val="21"/>
          <w:highlight w:val="none"/>
          <w:u w:val="single"/>
          <w:lang w:eastAsia="zh-CN"/>
          <w14:textFill>
            <w14:solidFill>
              <w14:schemeClr w14:val="tx1"/>
            </w14:solidFill>
          </w14:textFill>
        </w:rPr>
        <w:t xml:space="preserve"> </w:t>
      </w:r>
      <w:r>
        <w:rPr>
          <w:rFonts w:hAnsiTheme="minorEastAsia" w:eastAsiaTheme="minorEastAsia"/>
          <w:b/>
          <w:bCs/>
          <w:color w:val="000000" w:themeColor="text1"/>
          <w:szCs w:val="21"/>
          <w:highlight w:val="none"/>
          <w14:textFill>
            <w14:solidFill>
              <w14:schemeClr w14:val="tx1"/>
            </w14:solidFill>
          </w14:textFill>
        </w:rPr>
        <w:t>元</w:t>
      </w:r>
      <w:r>
        <w:rPr>
          <w:rFonts w:hint="eastAsia" w:hAnsiTheme="minorEastAsia" w:eastAsiaTheme="minorEastAsia"/>
          <w:b/>
          <w:bCs/>
          <w:color w:val="000000" w:themeColor="text1"/>
          <w:szCs w:val="21"/>
          <w:highlight w:val="none"/>
          <w:lang w:eastAsia="zh-CN"/>
          <w14:textFill>
            <w14:solidFill>
              <w14:schemeClr w14:val="tx1"/>
            </w14:solidFill>
          </w14:textFill>
        </w:rPr>
        <w:t>，</w:t>
      </w:r>
      <w:r>
        <w:rPr>
          <w:rFonts w:hint="eastAsia" w:hAnsiTheme="minorEastAsia" w:eastAsiaTheme="minorEastAsia"/>
          <w:b/>
          <w:bCs/>
          <w:color w:val="000000" w:themeColor="text1"/>
          <w:szCs w:val="21"/>
          <w:highlight w:val="none"/>
          <w:lang w:val="en-US" w:eastAsia="zh-CN"/>
          <w14:textFill>
            <w14:solidFill>
              <w14:schemeClr w14:val="tx1"/>
            </w14:solidFill>
          </w14:textFill>
        </w:rPr>
        <w:t>控制价明细详见附件。谈判供应商在投标报价时，只需填报项目的下浮率，评委以该下浮率作为报价评审依据。合同签订时，执行该下浮率，合同单价按照采购人发布的招标控制价中的单价*（1-下浮率）。</w:t>
      </w:r>
    </w:p>
    <w:p w14:paraId="36583158">
      <w:pPr>
        <w:pStyle w:val="18"/>
        <w:spacing w:after="0"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2.5 </w:t>
      </w:r>
      <w:r>
        <w:rPr>
          <w:rFonts w:hAnsiTheme="minorEastAsia" w:eastAsiaTheme="minorEastAsia"/>
          <w:color w:val="000000" w:themeColor="text1"/>
          <w:szCs w:val="21"/>
          <w:highlight w:val="none"/>
          <w14:textFill>
            <w14:solidFill>
              <w14:schemeClr w14:val="tx1"/>
            </w14:solidFill>
          </w14:textFill>
        </w:rPr>
        <w:t>质量要求：</w:t>
      </w:r>
      <w:r>
        <w:rPr>
          <w:rFonts w:hint="eastAsia" w:hAnsiTheme="minorEastAsia" w:eastAsiaTheme="minorEastAsia"/>
          <w:color w:val="000000" w:themeColor="text1"/>
          <w:szCs w:val="21"/>
          <w:highlight w:val="none"/>
          <w:u w:val="single"/>
          <w14:textFill>
            <w14:solidFill>
              <w14:schemeClr w14:val="tx1"/>
            </w14:solidFill>
          </w14:textFill>
        </w:rPr>
        <w:t xml:space="preserve"> 符合法律法规规定的以及采购人确定的合格标准</w:t>
      </w:r>
      <w:r>
        <w:rPr>
          <w:rFonts w:hint="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hAnsiTheme="minorEastAsia" w:eastAsiaTheme="minorEastAsia"/>
          <w:color w:val="000000" w:themeColor="text1"/>
          <w:szCs w:val="21"/>
          <w:highlight w:val="none"/>
          <w14:textFill>
            <w14:solidFill>
              <w14:schemeClr w14:val="tx1"/>
            </w14:solidFill>
          </w14:textFill>
        </w:rPr>
        <w:t>；</w:t>
      </w:r>
    </w:p>
    <w:p w14:paraId="145ECE20">
      <w:pPr>
        <w:adjustRightInd w:val="0"/>
        <w:snapToGrid w:val="0"/>
        <w:spacing w:line="360" w:lineRule="exact"/>
        <w:ind w:firstLine="420"/>
        <w:jc w:val="left"/>
        <w:rPr>
          <w:rFonts w:eastAsiaTheme="minorEastAsia"/>
          <w:color w:val="000000" w:themeColor="text1"/>
          <w:szCs w:val="21"/>
          <w:highlight w:val="none"/>
          <w:u w:val="single"/>
          <w14:textFill>
            <w14:solidFill>
              <w14:schemeClr w14:val="tx1"/>
            </w14:solidFill>
          </w14:textFill>
        </w:rPr>
      </w:pPr>
      <w:r>
        <w:rPr>
          <w:rFonts w:eastAsiaTheme="minorEastAsia"/>
          <w:color w:val="000000" w:themeColor="text1"/>
          <w:szCs w:val="21"/>
          <w:highlight w:val="none"/>
          <w14:textFill>
            <w14:solidFill>
              <w14:schemeClr w14:val="tx1"/>
            </w14:solidFill>
          </w14:textFill>
        </w:rPr>
        <w:t>2.</w:t>
      </w:r>
      <w:r>
        <w:rPr>
          <w:rFonts w:hint="eastAsia" w:eastAsiaTheme="minorEastAsia"/>
          <w:color w:val="000000" w:themeColor="text1"/>
          <w:szCs w:val="21"/>
          <w:highlight w:val="none"/>
          <w14:textFill>
            <w14:solidFill>
              <w14:schemeClr w14:val="tx1"/>
            </w14:solidFill>
          </w14:textFill>
        </w:rPr>
        <w:t>6</w:t>
      </w:r>
      <w:r>
        <w:rPr>
          <w:rFonts w:hAnsiTheme="minorEastAsia" w:eastAsiaTheme="minorEastAsia"/>
          <w:color w:val="000000" w:themeColor="text1"/>
          <w:szCs w:val="21"/>
          <w:highlight w:val="none"/>
          <w14:textFill>
            <w14:solidFill>
              <w14:schemeClr w14:val="tx1"/>
            </w14:solidFill>
          </w14:textFill>
        </w:rPr>
        <w:t>采购范围：</w:t>
      </w:r>
      <w:r>
        <w:rPr>
          <w:rFonts w:hint="eastAsia" w:hAnsiTheme="minorEastAsia" w:eastAsiaTheme="minorEastAsia"/>
          <w:color w:val="000000" w:themeColor="text1"/>
          <w:szCs w:val="21"/>
          <w:highlight w:val="none"/>
          <w:u w:val="single"/>
          <w:lang w:eastAsia="zh-CN"/>
          <w14:textFill>
            <w14:solidFill>
              <w14:schemeClr w14:val="tx1"/>
            </w14:solidFill>
          </w14:textFill>
        </w:rPr>
        <w:t>长华化学新建二氧化碳聚醚及高性能多元醇项目雨水监控池、事故水池钢板及机械租赁，水池土方开挖转运至指定地点整平、压实、基坑支护、基坑临边防护等，</w:t>
      </w:r>
      <w:r>
        <w:rPr>
          <w:rFonts w:hint="eastAsia" w:hAnsiTheme="minorEastAsia" w:eastAsiaTheme="minorEastAsia"/>
          <w:color w:val="000000" w:themeColor="text1"/>
          <w:szCs w:val="21"/>
          <w:highlight w:val="none"/>
          <w:u w:val="single"/>
          <w:lang w:val="en-US" w:eastAsia="zh-CN"/>
          <w14:textFill>
            <w14:solidFill>
              <w14:schemeClr w14:val="tx1"/>
            </w14:solidFill>
          </w14:textFill>
        </w:rPr>
        <w:t>具体详见控制价清单及图纸</w:t>
      </w:r>
      <w:r>
        <w:rPr>
          <w:rFonts w:hint="eastAsia" w:hAnsiTheme="minorEastAsia" w:eastAsiaTheme="minorEastAsia"/>
          <w:color w:val="000000" w:themeColor="text1"/>
          <w:szCs w:val="21"/>
          <w:highlight w:val="none"/>
          <w14:textFill>
            <w14:solidFill>
              <w14:schemeClr w14:val="tx1"/>
            </w14:solidFill>
          </w14:textFill>
        </w:rPr>
        <w:t xml:space="preserve">。      </w:t>
      </w:r>
    </w:p>
    <w:p w14:paraId="577D420B">
      <w:pPr>
        <w:adjustRightInd w:val="0"/>
        <w:snapToGrid w:val="0"/>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3.</w:t>
      </w:r>
      <w:r>
        <w:rPr>
          <w:rFonts w:hAnsiTheme="minorEastAsia" w:eastAsiaTheme="minorEastAsia"/>
          <w:b/>
          <w:color w:val="000000" w:themeColor="text1"/>
          <w:szCs w:val="21"/>
          <w:highlight w:val="none"/>
          <w14:textFill>
            <w14:solidFill>
              <w14:schemeClr w14:val="tx1"/>
            </w14:solidFill>
          </w14:textFill>
        </w:rPr>
        <w:t>资格条件</w:t>
      </w:r>
    </w:p>
    <w:p w14:paraId="426BF9D0">
      <w:pPr>
        <w:pStyle w:val="18"/>
        <w:adjustRightInd w:val="0"/>
        <w:snapToGrid w:val="0"/>
        <w:spacing w:after="0"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本工程采用</w:t>
      </w:r>
      <w:r>
        <w:rPr>
          <w:rFonts w:hAnsiTheme="minorEastAsia" w:eastAsiaTheme="minorEastAsia"/>
          <w:b/>
          <w:bCs/>
          <w:color w:val="000000" w:themeColor="text1"/>
          <w:szCs w:val="21"/>
          <w:highlight w:val="none"/>
          <w14:textFill>
            <w14:solidFill>
              <w14:schemeClr w14:val="tx1"/>
            </w14:solidFill>
          </w14:textFill>
        </w:rPr>
        <w:t>资格后审</w:t>
      </w:r>
      <w:r>
        <w:rPr>
          <w:rFonts w:hAnsiTheme="minorEastAsia" w:eastAsiaTheme="minorEastAsia"/>
          <w:color w:val="000000" w:themeColor="text1"/>
          <w:szCs w:val="21"/>
          <w:highlight w:val="none"/>
          <w14:textFill>
            <w14:solidFill>
              <w14:schemeClr w14:val="tx1"/>
            </w14:solidFill>
          </w14:textFill>
        </w:rPr>
        <w:t>方式，以下条件属于资格审查合格条件：</w:t>
      </w:r>
    </w:p>
    <w:p w14:paraId="2C91AA64">
      <w:pPr>
        <w:pStyle w:val="18"/>
        <w:spacing w:after="0"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lang w:val="en-US" w:eastAsia="zh-CN"/>
          <w14:textFill>
            <w14:solidFill>
              <w14:schemeClr w14:val="tx1"/>
            </w14:solidFill>
          </w14:textFill>
        </w:rPr>
        <w:t>3</w:t>
      </w:r>
      <w:r>
        <w:rPr>
          <w:rFonts w:hint="eastAsia" w:eastAsiaTheme="minorEastAsia"/>
          <w:color w:val="000000" w:themeColor="text1"/>
          <w:szCs w:val="21"/>
          <w:highlight w:val="none"/>
          <w14:textFill>
            <w14:solidFill>
              <w14:schemeClr w14:val="tx1"/>
            </w14:solidFill>
          </w14:textFill>
        </w:rPr>
        <w:t>.1供应商是具有独立订立合同的能力且能独立承担民事责任的法人或者其他组织；</w:t>
      </w:r>
    </w:p>
    <w:p w14:paraId="2A3F4557">
      <w:pPr>
        <w:pStyle w:val="18"/>
        <w:spacing w:after="0"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lang w:val="en-US" w:eastAsia="zh-CN"/>
          <w14:textFill>
            <w14:solidFill>
              <w14:schemeClr w14:val="tx1"/>
            </w14:solidFill>
          </w14:textFill>
        </w:rPr>
        <w:t>2</w:t>
      </w:r>
      <w:r>
        <w:rPr>
          <w:rFonts w:hint="eastAsia" w:eastAsiaTheme="minorEastAsia"/>
          <w:color w:val="000000" w:themeColor="text1"/>
          <w:szCs w:val="21"/>
          <w:highlight w:val="none"/>
          <w14:textFill>
            <w14:solidFill>
              <w14:schemeClr w14:val="tx1"/>
            </w14:solidFill>
          </w14:textFill>
        </w:rPr>
        <w:t>信誉要求：</w:t>
      </w:r>
    </w:p>
    <w:p w14:paraId="23C64C70">
      <w:pPr>
        <w:pStyle w:val="18"/>
        <w:spacing w:after="0"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lang w:val="en-US" w:eastAsia="zh-CN"/>
          <w14:textFill>
            <w14:solidFill>
              <w14:schemeClr w14:val="tx1"/>
            </w14:solidFill>
          </w14:textFill>
        </w:rPr>
        <w:t>2</w:t>
      </w:r>
      <w:r>
        <w:rPr>
          <w:rFonts w:hint="eastAsia" w:eastAsiaTheme="minorEastAsia"/>
          <w:color w:val="000000" w:themeColor="text1"/>
          <w:szCs w:val="21"/>
          <w:highlight w:val="none"/>
          <w14:textFill>
            <w14:solidFill>
              <w14:schemeClr w14:val="tx1"/>
            </w14:solidFill>
          </w14:textFill>
        </w:rPr>
        <w:t>.1 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7B46A754">
      <w:pPr>
        <w:pStyle w:val="18"/>
        <w:spacing w:after="0"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注：以上信誉要求内容由各供应商按照谈判文件附件承诺书要求进行承诺，并承担作出虚假承诺的一切后果。</w:t>
      </w:r>
    </w:p>
    <w:p w14:paraId="1283178B">
      <w:pPr>
        <w:pStyle w:val="18"/>
        <w:spacing w:after="0"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lang w:val="en-US" w:eastAsia="zh-CN"/>
          <w14:textFill>
            <w14:solidFill>
              <w14:schemeClr w14:val="tx1"/>
            </w14:solidFill>
          </w14:textFill>
        </w:rPr>
        <w:t>3</w:t>
      </w:r>
      <w:r>
        <w:rPr>
          <w:rFonts w:hint="eastAsia" w:eastAsiaTheme="minorEastAsia"/>
          <w:color w:val="000000" w:themeColor="text1"/>
          <w:szCs w:val="21"/>
          <w:highlight w:val="none"/>
          <w14:textFill>
            <w14:solidFill>
              <w14:schemeClr w14:val="tx1"/>
            </w14:solidFill>
          </w14:textFill>
        </w:rPr>
        <w:t>本项目不接受联合体参与谈判。</w:t>
      </w:r>
    </w:p>
    <w:p w14:paraId="6CDEB21A">
      <w:pPr>
        <w:pStyle w:val="18"/>
        <w:keepNext w:val="0"/>
        <w:keepLines w:val="0"/>
        <w:pageBreakBefore w:val="0"/>
        <w:widowControl w:val="0"/>
        <w:kinsoku/>
        <w:overflowPunct/>
        <w:topLinePunct w:val="0"/>
        <w:autoSpaceDE/>
        <w:autoSpaceDN/>
        <w:bidi w:val="0"/>
        <w:spacing w:after="0"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w:t>
      </w:r>
      <w:r>
        <w:rPr>
          <w:rFonts w:hint="eastAsia" w:cs="Times New Roman" w:eastAsiaTheme="minorEastAsia"/>
          <w:color w:val="000000" w:themeColor="text1"/>
          <w:szCs w:val="21"/>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highlight w:val="none"/>
          <w14:textFill>
            <w14:solidFill>
              <w14:schemeClr w14:val="tx1"/>
            </w14:solidFill>
          </w14:textFill>
        </w:rPr>
        <w:t>供应商不得存在下列情形之一：</w:t>
      </w:r>
    </w:p>
    <w:p w14:paraId="69F39F3B">
      <w:pPr>
        <w:spacing w:line="360" w:lineRule="exact"/>
        <w:ind w:firstLine="420"/>
        <w:rPr>
          <w:rFonts w:hint="eastAsia"/>
          <w:color w:val="000000"/>
          <w:szCs w:val="21"/>
          <w:highlight w:val="none"/>
        </w:rPr>
      </w:pPr>
      <w:r>
        <w:rPr>
          <w:rFonts w:hint="eastAsia"/>
          <w:color w:val="000000"/>
          <w:szCs w:val="21"/>
          <w:highlight w:val="none"/>
        </w:rPr>
        <w:t>（1）为采购人不具有独立法人资格的附属机构（单位）；</w:t>
      </w:r>
    </w:p>
    <w:p w14:paraId="62642AA6">
      <w:pPr>
        <w:spacing w:line="360" w:lineRule="exact"/>
        <w:ind w:firstLine="420"/>
        <w:rPr>
          <w:rFonts w:hint="eastAsia"/>
          <w:color w:val="000000"/>
          <w:szCs w:val="21"/>
          <w:highlight w:val="none"/>
        </w:rPr>
      </w:pPr>
      <w:r>
        <w:rPr>
          <w:rFonts w:hint="eastAsia"/>
          <w:color w:val="000000"/>
          <w:szCs w:val="21"/>
          <w:highlight w:val="none"/>
        </w:rPr>
        <w:t>（2）为本项目的监理人、代建人、项目管理人，以及为本项目提供采购代理、设计服务的；</w:t>
      </w:r>
    </w:p>
    <w:p w14:paraId="5A354F0A">
      <w:pPr>
        <w:spacing w:line="360" w:lineRule="exact"/>
        <w:ind w:firstLine="420"/>
        <w:rPr>
          <w:rFonts w:hint="eastAsia"/>
          <w:color w:val="000000"/>
          <w:szCs w:val="21"/>
          <w:highlight w:val="none"/>
        </w:rPr>
      </w:pPr>
      <w:r>
        <w:rPr>
          <w:rFonts w:hint="eastAsia"/>
          <w:color w:val="000000"/>
          <w:szCs w:val="21"/>
          <w:highlight w:val="none"/>
        </w:rPr>
        <w:t>（3）与本项目的监理人、代建人、采购代理机构同为一个法定代表人的，或者相互控股、参股的；</w:t>
      </w:r>
    </w:p>
    <w:p w14:paraId="2356CE56">
      <w:pPr>
        <w:spacing w:line="360" w:lineRule="exact"/>
        <w:ind w:firstLine="420"/>
        <w:rPr>
          <w:rFonts w:hint="eastAsia"/>
          <w:color w:val="000000"/>
          <w:szCs w:val="21"/>
          <w:highlight w:val="none"/>
        </w:rPr>
      </w:pPr>
      <w:r>
        <w:rPr>
          <w:rFonts w:hint="eastAsia"/>
          <w:color w:val="000000"/>
          <w:szCs w:val="21"/>
          <w:highlight w:val="none"/>
        </w:rPr>
        <w:t>（4）与采购人存在利害关系可能影响采购公正性的；</w:t>
      </w:r>
    </w:p>
    <w:p w14:paraId="2638625F">
      <w:pPr>
        <w:spacing w:line="360" w:lineRule="exact"/>
        <w:ind w:firstLine="420"/>
        <w:rPr>
          <w:rFonts w:hint="eastAsia"/>
          <w:color w:val="000000"/>
          <w:szCs w:val="21"/>
          <w:highlight w:val="none"/>
        </w:rPr>
      </w:pPr>
      <w:r>
        <w:rPr>
          <w:rFonts w:hint="eastAsia"/>
          <w:color w:val="000000"/>
          <w:szCs w:val="21"/>
          <w:highlight w:val="none"/>
        </w:rPr>
        <w:t>（5）单位负责人为同一人或者存在控股、管理关系的；</w:t>
      </w:r>
    </w:p>
    <w:p w14:paraId="16BD50BE">
      <w:pPr>
        <w:spacing w:line="360" w:lineRule="exact"/>
        <w:ind w:firstLine="420"/>
        <w:rPr>
          <w:rFonts w:hint="eastAsia"/>
          <w:color w:val="000000"/>
          <w:szCs w:val="21"/>
          <w:highlight w:val="none"/>
        </w:rPr>
      </w:pPr>
      <w:r>
        <w:rPr>
          <w:rFonts w:hint="eastAsia"/>
          <w:color w:val="000000"/>
          <w:szCs w:val="21"/>
          <w:highlight w:val="none"/>
        </w:rPr>
        <w:t>（6）存在同一人直接关联任职股东或高管（董事长、总经理、董事、监事）的；</w:t>
      </w:r>
    </w:p>
    <w:p w14:paraId="4EC38670">
      <w:pPr>
        <w:spacing w:line="360" w:lineRule="exact"/>
        <w:ind w:firstLine="420"/>
        <w:rPr>
          <w:rFonts w:hint="eastAsia"/>
          <w:color w:val="000000"/>
          <w:szCs w:val="21"/>
          <w:highlight w:val="none"/>
        </w:rPr>
      </w:pPr>
      <w:r>
        <w:rPr>
          <w:rFonts w:hint="eastAsia"/>
          <w:color w:val="000000"/>
          <w:szCs w:val="21"/>
          <w:highlight w:val="none"/>
        </w:rPr>
        <w:t>（7）处于被责令停业、财产被接管、冻结和破产状态，以及投标（供应商）资格被取消或者被暂停且在暂停期内；</w:t>
      </w:r>
    </w:p>
    <w:p w14:paraId="51469065">
      <w:pPr>
        <w:pStyle w:val="18"/>
        <w:keepNext w:val="0"/>
        <w:keepLines w:val="0"/>
        <w:pageBreakBefore w:val="0"/>
        <w:widowControl w:val="0"/>
        <w:kinsoku/>
        <w:overflowPunct/>
        <w:topLinePunct w:val="0"/>
        <w:autoSpaceDE/>
        <w:autoSpaceDN/>
        <w:bidi w:val="0"/>
        <w:spacing w:after="0" w:line="360" w:lineRule="exact"/>
        <w:ind w:firstLine="420"/>
        <w:jc w:val="left"/>
        <w:rPr>
          <w:rFonts w:hint="default" w:ascii="Times New Roman" w:hAnsi="Times New Roman" w:cs="Times New Roman" w:eastAsiaTheme="minorEastAsia"/>
          <w:szCs w:val="21"/>
          <w:highlight w:val="none"/>
        </w:rPr>
      </w:pPr>
      <w:r>
        <w:rPr>
          <w:rFonts w:hint="eastAsia"/>
          <w:color w:val="000000"/>
          <w:szCs w:val="21"/>
          <w:highlight w:val="none"/>
        </w:rPr>
        <w:t>（8）因拖欠工人工资或者发生质量安全事故被有关部门限制在采购项目所在地承接工程的。</w:t>
      </w:r>
    </w:p>
    <w:p w14:paraId="24FD5454">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4.</w:t>
      </w:r>
      <w:r>
        <w:rPr>
          <w:rFonts w:hAnsiTheme="minorEastAsia" w:eastAsiaTheme="minorEastAsia"/>
          <w:b/>
          <w:color w:val="000000" w:themeColor="text1"/>
          <w:szCs w:val="21"/>
          <w:highlight w:val="none"/>
          <w14:textFill>
            <w14:solidFill>
              <w14:schemeClr w14:val="tx1"/>
            </w14:solidFill>
          </w14:textFill>
        </w:rPr>
        <w:t>谈判文件的获取</w:t>
      </w:r>
    </w:p>
    <w:p w14:paraId="7D3E567E">
      <w:pPr>
        <w:spacing w:line="360" w:lineRule="exact"/>
        <w:ind w:firstLine="420"/>
        <w:jc w:val="left"/>
        <w:rPr>
          <w:rFonts w:hint="eastAsia" w:eastAsiaTheme="minorEastAsia"/>
          <w:bCs/>
          <w:color w:val="000000" w:themeColor="text1"/>
          <w:szCs w:val="21"/>
          <w:highlight w:val="none"/>
          <w:lang w:eastAsia="zh-CN"/>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4.1</w:t>
      </w:r>
      <w:r>
        <w:rPr>
          <w:rFonts w:hAnsiTheme="minorEastAsia" w:eastAsiaTheme="minorEastAsia"/>
          <w:bCs/>
          <w:color w:val="000000" w:themeColor="text1"/>
          <w:szCs w:val="21"/>
          <w:highlight w:val="none"/>
          <w14:textFill>
            <w14:solidFill>
              <w14:schemeClr w14:val="tx1"/>
            </w14:solidFill>
          </w14:textFill>
        </w:rPr>
        <w:t>谈判文件的获取时间为：</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hint="eastAsia" w:eastAsiaTheme="minorEastAsia"/>
          <w:b/>
          <w:bCs w:val="0"/>
          <w:color w:val="FF0000"/>
          <w:szCs w:val="21"/>
          <w:highlight w:val="none"/>
          <w:u w:val="single"/>
        </w:rPr>
        <w:t xml:space="preserve"> </w:t>
      </w:r>
      <w:r>
        <w:rPr>
          <w:rFonts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年</w:t>
      </w:r>
      <w:r>
        <w:rPr>
          <w:rFonts w:hint="eastAsia" w:hAnsiTheme="minorEastAsia" w:eastAsiaTheme="minorEastAsia"/>
          <w:b/>
          <w:bCs w:val="0"/>
          <w:color w:val="FF0000"/>
          <w:szCs w:val="21"/>
          <w:highlight w:val="none"/>
          <w:u w:val="single"/>
        </w:rPr>
        <w:t xml:space="preserve"> </w:t>
      </w:r>
      <w:r>
        <w:rPr>
          <w:rFonts w:hint="eastAsia" w:hAnsiTheme="minorEastAsia" w:eastAsiaTheme="minorEastAsia"/>
          <w:b/>
          <w:bCs w:val="0"/>
          <w:color w:val="FF0000"/>
          <w:szCs w:val="21"/>
          <w:highlight w:val="none"/>
          <w:u w:val="single"/>
          <w:lang w:val="en-US" w:eastAsia="zh-CN"/>
        </w:rPr>
        <w:t xml:space="preserve">2 </w:t>
      </w:r>
      <w:r>
        <w:rPr>
          <w:rFonts w:hAnsiTheme="minorEastAsia" w:eastAsiaTheme="minorEastAsia"/>
          <w:b/>
          <w:bCs w:val="0"/>
          <w:color w:val="FF0000"/>
          <w:szCs w:val="21"/>
          <w:highlight w:val="none"/>
        </w:rPr>
        <w:t>月</w:t>
      </w:r>
      <w:r>
        <w:rPr>
          <w:rFonts w:hint="eastAsia" w:hAnsiTheme="minorEastAsia" w:eastAsiaTheme="minorEastAsia"/>
          <w:b/>
          <w:bCs w:val="0"/>
          <w:color w:val="FF0000"/>
          <w:szCs w:val="21"/>
          <w:highlight w:val="none"/>
          <w:u w:val="single"/>
          <w:lang w:val="en-US" w:eastAsia="zh-CN"/>
        </w:rPr>
        <w:t xml:space="preserve"> </w:t>
      </w:r>
      <w:r>
        <w:rPr>
          <w:rFonts w:hint="eastAsia" w:eastAsiaTheme="minorEastAsia"/>
          <w:b/>
          <w:bCs w:val="0"/>
          <w:color w:val="FF0000"/>
          <w:szCs w:val="21"/>
          <w:highlight w:val="none"/>
          <w:u w:val="single"/>
          <w:lang w:val="en-US" w:eastAsia="zh-CN"/>
        </w:rPr>
        <w:t>25</w:t>
      </w:r>
      <w:r>
        <w:rPr>
          <w:rFonts w:hint="eastAsia" w:hAnsiTheme="minorEastAsia" w:eastAsiaTheme="minorEastAsia"/>
          <w:b/>
          <w:bCs w:val="0"/>
          <w:color w:val="FF0000"/>
          <w:szCs w:val="21"/>
          <w:highlight w:val="none"/>
          <w:u w:val="single"/>
          <w:lang w:val="en-US" w:eastAsia="zh-CN"/>
        </w:rPr>
        <w:t xml:space="preserve"> </w:t>
      </w:r>
      <w:r>
        <w:rPr>
          <w:rFonts w:hAnsiTheme="minorEastAsia" w:eastAsiaTheme="minorEastAsia"/>
          <w:b/>
          <w:bCs w:val="0"/>
          <w:color w:val="FF0000"/>
          <w:szCs w:val="21"/>
          <w:highlight w:val="none"/>
        </w:rPr>
        <w:t>日至</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年</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3</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月</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 xml:space="preserve">3 </w:t>
      </w:r>
      <w:r>
        <w:rPr>
          <w:rFonts w:hAnsiTheme="minorEastAsia" w:eastAsiaTheme="minorEastAsia"/>
          <w:b/>
          <w:bCs w:val="0"/>
          <w:color w:val="FF0000"/>
          <w:szCs w:val="21"/>
          <w:highlight w:val="none"/>
        </w:rPr>
        <w:t>日</w:t>
      </w:r>
      <w:r>
        <w:rPr>
          <w:rFonts w:hint="eastAsia" w:hAnsiTheme="minorEastAsia" w:eastAsiaTheme="minorEastAsia"/>
          <w:b/>
          <w:bCs w:val="0"/>
          <w:color w:val="FF0000"/>
          <w:szCs w:val="21"/>
          <w:highlight w:val="none"/>
          <w:u w:val="single"/>
          <w:lang w:val="en-US" w:eastAsia="zh-CN"/>
        </w:rPr>
        <w:t>10:00</w:t>
      </w:r>
      <w:r>
        <w:rPr>
          <w:rFonts w:hint="eastAsia" w:hAnsiTheme="minorEastAsia" w:eastAsiaTheme="minorEastAsia"/>
          <w:b/>
          <w:bCs w:val="0"/>
          <w:color w:val="FF0000"/>
          <w:szCs w:val="21"/>
          <w:highlight w:val="none"/>
          <w:lang w:eastAsia="zh-CN"/>
        </w:rPr>
        <w:t>。</w:t>
      </w:r>
    </w:p>
    <w:p w14:paraId="0E8C18A1">
      <w:pPr>
        <w:spacing w:line="360" w:lineRule="exact"/>
        <w:ind w:firstLine="422"/>
        <w:jc w:val="left"/>
        <w:rPr>
          <w:rFonts w:hint="eastAsia" w:eastAsiaTheme="minorEastAsia"/>
          <w:bCs/>
          <w:color w:val="000000" w:themeColor="text1"/>
          <w:szCs w:val="21"/>
          <w:highlight w:val="none"/>
          <w14:textFill>
            <w14:solidFill>
              <w14:schemeClr w14:val="tx1"/>
            </w14:solidFill>
          </w14:textFill>
        </w:rPr>
      </w:pPr>
      <w:r>
        <w:rPr>
          <w:rFonts w:hint="eastAsia" w:eastAsiaTheme="minorEastAsia"/>
          <w:bCs/>
          <w:color w:val="000000" w:themeColor="text1"/>
          <w:szCs w:val="21"/>
          <w:highlight w:val="none"/>
          <w14:textFill>
            <w14:solidFill>
              <w14:schemeClr w14:val="tx1"/>
            </w14:solidFill>
          </w14:textFill>
        </w:rPr>
        <w:t>4.2 谈判文件获取方式：供应商登录“方洋集团物资采购平台”（网址“https://cg.fygroup.com/”）获取文件，点击“确认受理”即视为报名成功，否则响应文件不予接收；（特别提醒：供应商报名成功后，可在供应商中心“报价作业”栏查询到所参与项目）。</w:t>
      </w:r>
    </w:p>
    <w:p w14:paraId="4DF5DC6B">
      <w:pPr>
        <w:spacing w:line="360" w:lineRule="exact"/>
        <w:ind w:firstLine="422"/>
        <w:jc w:val="left"/>
        <w:rPr>
          <w:rFonts w:hint="eastAsia" w:eastAsiaTheme="minorEastAsia"/>
          <w:bCs/>
          <w:color w:val="000000" w:themeColor="text1"/>
          <w:szCs w:val="21"/>
          <w:highlight w:val="none"/>
          <w14:textFill>
            <w14:solidFill>
              <w14:schemeClr w14:val="tx1"/>
            </w14:solidFill>
          </w14:textFill>
        </w:rPr>
      </w:pPr>
      <w:r>
        <w:rPr>
          <w:rFonts w:hint="eastAsia" w:eastAsiaTheme="minorEastAsia"/>
          <w:bCs/>
          <w:color w:val="000000" w:themeColor="text1"/>
          <w:szCs w:val="21"/>
          <w:highlight w:val="none"/>
          <w14:textFill>
            <w14:solidFill>
              <w14:schemeClr w14:val="tx1"/>
            </w14:solidFill>
          </w14:textFill>
        </w:rPr>
        <w:t>★4.3供应商应在谈判响应文件递交截止时间前随时查看“方洋集团物资采购平台”中有关该项目谈判文件的答疑和相关内容。否则，因此引起的后果由供应商自行承担。</w:t>
      </w:r>
    </w:p>
    <w:p w14:paraId="38EEEF92">
      <w:pPr>
        <w:spacing w:line="360" w:lineRule="exact"/>
        <w:ind w:firstLine="422"/>
        <w:jc w:val="left"/>
        <w:rPr>
          <w:rFonts w:hint="eastAsia" w:eastAsiaTheme="minorEastAsia"/>
          <w:b/>
          <w:bCs w:val="0"/>
          <w:color w:val="000000" w:themeColor="text1"/>
          <w:szCs w:val="21"/>
          <w:highlight w:val="none"/>
          <w14:textFill>
            <w14:solidFill>
              <w14:schemeClr w14:val="tx1"/>
            </w14:solidFill>
          </w14:textFill>
        </w:rPr>
      </w:pPr>
      <w:r>
        <w:rPr>
          <w:rFonts w:hint="eastAsia" w:eastAsiaTheme="minorEastAsia"/>
          <w:b/>
          <w:bCs w:val="0"/>
          <w:color w:val="000000" w:themeColor="text1"/>
          <w:szCs w:val="21"/>
          <w:highlight w:val="none"/>
          <w14:textFill>
            <w14:solidFill>
              <w14:schemeClr w14:val="tx1"/>
            </w14:solidFill>
          </w14:textFill>
        </w:rPr>
        <w:t>注：初次在报名网址注册的潜在供应商注意，由于审核注册的工作人员只在工作日审核，所以要适当的考虑注册和审核时间，并自行承担后果。</w:t>
      </w:r>
    </w:p>
    <w:p w14:paraId="0F7B59A3">
      <w:pPr>
        <w:spacing w:line="360" w:lineRule="exact"/>
        <w:ind w:firstLine="422"/>
        <w:jc w:val="left"/>
        <w:rPr>
          <w:rFonts w:hint="eastAsia" w:eastAsiaTheme="minorEastAsia"/>
          <w:bCs/>
          <w:color w:val="000000" w:themeColor="text1"/>
          <w:szCs w:val="21"/>
          <w:highlight w:val="none"/>
          <w14:textFill>
            <w14:solidFill>
              <w14:schemeClr w14:val="tx1"/>
            </w14:solidFill>
          </w14:textFill>
        </w:rPr>
      </w:pPr>
      <w:r>
        <w:rPr>
          <w:rFonts w:hint="eastAsia" w:eastAsiaTheme="minorEastAsia"/>
          <w:bCs/>
          <w:color w:val="000000" w:themeColor="text1"/>
          <w:szCs w:val="21"/>
          <w:highlight w:val="none"/>
          <w14:textFill>
            <w14:solidFill>
              <w14:schemeClr w14:val="tx1"/>
            </w14:solidFill>
          </w14:textFill>
        </w:rPr>
        <w:t>本项目采取资格后审，能够报名并下载谈判文件不代表资格审查合格，采购人对此不承担任何责任。</w:t>
      </w:r>
    </w:p>
    <w:p w14:paraId="3FC4048F">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5.</w:t>
      </w:r>
      <w:r>
        <w:rPr>
          <w:rFonts w:hAnsiTheme="minorEastAsia" w:eastAsiaTheme="minorEastAsia"/>
          <w:b/>
          <w:color w:val="000000" w:themeColor="text1"/>
          <w:szCs w:val="21"/>
          <w:highlight w:val="none"/>
          <w14:textFill>
            <w14:solidFill>
              <w14:schemeClr w14:val="tx1"/>
            </w14:solidFill>
          </w14:textFill>
        </w:rPr>
        <w:t>响应文件递交截止时间及谈判方式</w:t>
      </w:r>
    </w:p>
    <w:p w14:paraId="4E79CDF2">
      <w:pPr>
        <w:spacing w:line="360" w:lineRule="exact"/>
        <w:ind w:firstLine="420"/>
        <w:jc w:val="left"/>
        <w:rPr>
          <w:rFonts w:eastAsiaTheme="minorEastAsia"/>
          <w:bCs/>
          <w:color w:val="000000" w:themeColor="text1"/>
          <w:szCs w:val="21"/>
          <w:highlight w:val="none"/>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 xml:space="preserve">5.1 </w:t>
      </w:r>
      <w:r>
        <w:rPr>
          <w:rFonts w:hAnsiTheme="minorEastAsia" w:eastAsiaTheme="minorEastAsia"/>
          <w:bCs/>
          <w:color w:val="000000" w:themeColor="text1"/>
          <w:szCs w:val="21"/>
          <w:highlight w:val="none"/>
          <w14:textFill>
            <w14:solidFill>
              <w14:schemeClr w14:val="tx1"/>
            </w14:solidFill>
          </w14:textFill>
        </w:rPr>
        <w:t>响应文件递交截止时间为：</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年</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3</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月</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 xml:space="preserve">3 </w:t>
      </w:r>
      <w:r>
        <w:rPr>
          <w:rFonts w:hAnsiTheme="minorEastAsia" w:eastAsiaTheme="minorEastAsia"/>
          <w:b/>
          <w:bCs w:val="0"/>
          <w:color w:val="FF0000"/>
          <w:szCs w:val="21"/>
          <w:highlight w:val="none"/>
        </w:rPr>
        <w:t>日</w:t>
      </w:r>
      <w:r>
        <w:rPr>
          <w:rFonts w:hint="eastAsia" w:hAnsiTheme="minorEastAsia" w:eastAsiaTheme="minorEastAsia"/>
          <w:b/>
          <w:bCs w:val="0"/>
          <w:color w:val="FF0000"/>
          <w:szCs w:val="21"/>
          <w:highlight w:val="none"/>
          <w:u w:val="single"/>
          <w:lang w:val="en-US" w:eastAsia="zh-CN"/>
        </w:rPr>
        <w:t>10:00</w:t>
      </w:r>
      <w:r>
        <w:rPr>
          <w:rFonts w:hAnsiTheme="minorEastAsia" w:eastAsiaTheme="minorEastAsia"/>
          <w:b/>
          <w:bCs w:val="0"/>
          <w:color w:val="FF0000"/>
          <w:szCs w:val="21"/>
          <w:highlight w:val="none"/>
        </w:rPr>
        <w:t>；</w:t>
      </w:r>
    </w:p>
    <w:p w14:paraId="5FC78E1B">
      <w:pPr>
        <w:pStyle w:val="106"/>
        <w:adjustRightInd w:val="0"/>
        <w:snapToGrid w:val="0"/>
        <w:spacing w:line="360" w:lineRule="exact"/>
        <w:jc w:val="left"/>
        <w:rPr>
          <w:rFonts w:hAnsiTheme="minorEastAsia" w:eastAsiaTheme="minorEastAsia"/>
          <w:bCs/>
          <w:color w:val="000000" w:themeColor="text1"/>
          <w:sz w:val="21"/>
          <w:szCs w:val="21"/>
          <w:highlight w:val="none"/>
          <w14:textFill>
            <w14:solidFill>
              <w14:schemeClr w14:val="tx1"/>
            </w14:solidFill>
          </w14:textFill>
        </w:rPr>
      </w:pPr>
      <w:r>
        <w:rPr>
          <w:rFonts w:eastAsiaTheme="minorEastAsia"/>
          <w:bCs/>
          <w:color w:val="000000" w:themeColor="text1"/>
          <w:sz w:val="21"/>
          <w:szCs w:val="21"/>
          <w:highlight w:val="none"/>
          <w14:textFill>
            <w14:solidFill>
              <w14:schemeClr w14:val="tx1"/>
            </w14:solidFill>
          </w14:textFill>
        </w:rPr>
        <w:t xml:space="preserve">5.2 </w:t>
      </w:r>
      <w:r>
        <w:rPr>
          <w:rFonts w:hAnsiTheme="minorEastAsia" w:eastAsiaTheme="minorEastAsia"/>
          <w:bCs/>
          <w:color w:val="000000" w:themeColor="text1"/>
          <w:sz w:val="21"/>
          <w:szCs w:val="21"/>
          <w:highlight w:val="none"/>
          <w14:textFill>
            <w14:solidFill>
              <w14:schemeClr w14:val="tx1"/>
            </w14:solidFill>
          </w14:textFill>
        </w:rPr>
        <w:t>本项目采用远程不见面线上开展谈判及评审。</w:t>
      </w:r>
      <w:r>
        <w:rPr>
          <w:rFonts w:hint="eastAsia" w:hAnsiTheme="minorEastAsia" w:eastAsiaTheme="minorEastAsia"/>
          <w:bCs/>
          <w:color w:val="000000" w:themeColor="text1"/>
          <w:sz w:val="21"/>
          <w:szCs w:val="21"/>
          <w:highlight w:val="none"/>
          <w14:textFill>
            <w14:solidFill>
              <w14:schemeClr w14:val="tx1"/>
            </w14:solidFill>
          </w14:textFill>
        </w:rPr>
        <w:t>具体要求详见谈判文件。</w:t>
      </w:r>
    </w:p>
    <w:p w14:paraId="36A699CB">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hint="eastAsia" w:eastAsiaTheme="minorEastAsia"/>
          <w:b/>
          <w:color w:val="000000" w:themeColor="text1"/>
          <w:szCs w:val="21"/>
          <w:highlight w:val="none"/>
          <w14:textFill>
            <w14:solidFill>
              <w14:schemeClr w14:val="tx1"/>
            </w14:solidFill>
          </w14:textFill>
        </w:rPr>
        <w:t>6.</w:t>
      </w:r>
      <w:r>
        <w:rPr>
          <w:rFonts w:eastAsiaTheme="minorEastAsia"/>
          <w:b/>
          <w:color w:val="000000" w:themeColor="text1"/>
          <w:szCs w:val="21"/>
          <w:highlight w:val="none"/>
          <w14:textFill>
            <w14:solidFill>
              <w14:schemeClr w14:val="tx1"/>
            </w14:solidFill>
          </w14:textFill>
        </w:rPr>
        <w:t>评审入围条件及评审办法</w:t>
      </w:r>
    </w:p>
    <w:p w14:paraId="0103379A">
      <w:pPr>
        <w:pStyle w:val="106"/>
        <w:adjustRightInd w:val="0"/>
        <w:snapToGrid w:val="0"/>
        <w:spacing w:line="360" w:lineRule="exact"/>
        <w:jc w:val="left"/>
        <w:rPr>
          <w:color w:val="000000" w:themeColor="text1"/>
          <w:sz w:val="21"/>
          <w:szCs w:val="21"/>
          <w:highlight w:val="none"/>
          <w14:textFill>
            <w14:solidFill>
              <w14:schemeClr w14:val="tx1"/>
            </w14:solidFill>
          </w14:textFill>
        </w:rPr>
      </w:pPr>
      <w:r>
        <w:rPr>
          <w:rFonts w:hint="eastAsia"/>
          <w:sz w:val="21"/>
          <w:szCs w:val="21"/>
          <w:highlight w:val="none"/>
        </w:rPr>
        <w:t>6.1</w:t>
      </w:r>
      <w:r>
        <w:rPr>
          <w:rFonts w:hint="eastAsia" w:ascii="宋体" w:hAnsi="宋体" w:eastAsiaTheme="minorEastAsia"/>
          <w:sz w:val="21"/>
          <w:szCs w:val="21"/>
          <w:highlight w:val="none"/>
        </w:rPr>
        <w:t>评审</w:t>
      </w:r>
      <w:r>
        <w:rPr>
          <w:rFonts w:hint="eastAsia" w:ascii="宋体" w:hAnsi="宋体"/>
          <w:sz w:val="21"/>
          <w:szCs w:val="21"/>
          <w:highlight w:val="none"/>
        </w:rPr>
        <w:t>入围条件：供应商响应文件响应函中载明的报价高于采购人期望值的（采购人期望值=采购控制价*</w:t>
      </w:r>
      <w:r>
        <w:rPr>
          <w:rFonts w:hint="eastAsia" w:ascii="宋体" w:hAnsi="宋体"/>
          <w:b/>
          <w:bCs/>
          <w:color w:val="FF0000"/>
          <w:sz w:val="21"/>
          <w:szCs w:val="21"/>
          <w:highlight w:val="none"/>
        </w:rPr>
        <w:t xml:space="preserve"> </w:t>
      </w:r>
      <w:r>
        <w:rPr>
          <w:rFonts w:hint="eastAsia" w:ascii="宋体" w:hAnsi="宋体"/>
          <w:b/>
          <w:bCs/>
          <w:color w:val="FF0000"/>
          <w:sz w:val="21"/>
          <w:szCs w:val="21"/>
          <w:highlight w:val="none"/>
          <w:u w:val="single"/>
        </w:rPr>
        <w:t xml:space="preserve"> </w:t>
      </w:r>
      <w:r>
        <w:rPr>
          <w:rFonts w:hint="eastAsia" w:ascii="宋体" w:hAnsi="宋体"/>
          <w:b/>
          <w:bCs/>
          <w:color w:val="FF0000"/>
          <w:sz w:val="21"/>
          <w:szCs w:val="21"/>
          <w:highlight w:val="none"/>
          <w:u w:val="single"/>
          <w:lang w:val="en-US" w:eastAsia="zh-CN"/>
        </w:rPr>
        <w:t>100</w:t>
      </w:r>
      <w:r>
        <w:rPr>
          <w:rFonts w:hint="eastAsia" w:ascii="宋体" w:hAnsi="宋体"/>
          <w:b/>
          <w:bCs/>
          <w:color w:val="FF0000"/>
          <w:sz w:val="21"/>
          <w:szCs w:val="21"/>
          <w:highlight w:val="none"/>
          <w:u w:val="single"/>
        </w:rPr>
        <w:t xml:space="preserve"> </w:t>
      </w:r>
      <w:r>
        <w:rPr>
          <w:rFonts w:hint="eastAsia" w:ascii="宋体" w:hAnsi="宋体"/>
          <w:b/>
          <w:bCs/>
          <w:color w:val="FF0000"/>
          <w:sz w:val="21"/>
          <w:szCs w:val="21"/>
          <w:highlight w:val="none"/>
        </w:rPr>
        <w:t>%</w:t>
      </w:r>
      <w:r>
        <w:rPr>
          <w:rFonts w:hint="eastAsia" w:ascii="宋体" w:hAnsi="宋体"/>
          <w:sz w:val="21"/>
          <w:szCs w:val="21"/>
          <w:highlight w:val="none"/>
        </w:rPr>
        <w:t>），不再进行后续评审。</w:t>
      </w:r>
    </w:p>
    <w:p w14:paraId="57ADEFDF">
      <w:pPr>
        <w:pStyle w:val="106"/>
        <w:adjustRightInd w:val="0"/>
        <w:snapToGrid w:val="0"/>
        <w:spacing w:line="360" w:lineRule="exact"/>
        <w:jc w:val="left"/>
        <w:rPr>
          <w:rFonts w:eastAsiaTheme="minorEastAsia"/>
          <w:color w:val="000000" w:themeColor="text1"/>
          <w:sz w:val="21"/>
          <w:szCs w:val="21"/>
          <w:highlight w:val="none"/>
          <w14:textFill>
            <w14:solidFill>
              <w14:schemeClr w14:val="tx1"/>
            </w14:solidFill>
          </w14:textFill>
        </w:rPr>
      </w:pPr>
      <w:r>
        <w:rPr>
          <w:rFonts w:eastAsiaTheme="minorEastAsia"/>
          <w:color w:val="000000" w:themeColor="text1"/>
          <w:sz w:val="21"/>
          <w:szCs w:val="21"/>
          <w:highlight w:val="none"/>
          <w14:textFill>
            <w14:solidFill>
              <w14:schemeClr w14:val="tx1"/>
            </w14:solidFill>
          </w14:textFill>
        </w:rPr>
        <w:t>6.</w:t>
      </w:r>
      <w:r>
        <w:rPr>
          <w:rFonts w:hint="eastAsia" w:eastAsiaTheme="minorEastAsia"/>
          <w:color w:val="000000" w:themeColor="text1"/>
          <w:sz w:val="21"/>
          <w:szCs w:val="21"/>
          <w:highlight w:val="none"/>
          <w14:textFill>
            <w14:solidFill>
              <w14:schemeClr w14:val="tx1"/>
            </w14:solidFill>
          </w14:textFill>
        </w:rPr>
        <w:t>2</w:t>
      </w:r>
      <w:r>
        <w:rPr>
          <w:rFonts w:hAnsiTheme="minorEastAsia" w:eastAsiaTheme="minorEastAsia"/>
          <w:color w:val="000000" w:themeColor="text1"/>
          <w:sz w:val="21"/>
          <w:szCs w:val="21"/>
          <w:highlight w:val="none"/>
          <w14:textFill>
            <w14:solidFill>
              <w14:schemeClr w14:val="tx1"/>
            </w14:solidFill>
          </w14:textFill>
        </w:rPr>
        <w:t>评审办法：经评审的最低价法</w:t>
      </w:r>
      <w:r>
        <w:rPr>
          <w:rFonts w:hint="eastAsia" w:hAnsiTheme="minorEastAsia" w:eastAsiaTheme="minorEastAsia"/>
          <w:color w:val="000000" w:themeColor="text1"/>
          <w:sz w:val="21"/>
          <w:szCs w:val="21"/>
          <w:highlight w:val="none"/>
          <w14:textFill>
            <w14:solidFill>
              <w14:schemeClr w14:val="tx1"/>
            </w14:solidFill>
          </w14:textFill>
        </w:rPr>
        <w:t>，</w:t>
      </w:r>
      <w:r>
        <w:rPr>
          <w:rFonts w:hAnsiTheme="minorEastAsia" w:eastAsiaTheme="minorEastAsia"/>
          <w:color w:val="000000" w:themeColor="text1"/>
          <w:sz w:val="21"/>
          <w:szCs w:val="21"/>
          <w:highlight w:val="none"/>
          <w14:textFill>
            <w14:solidFill>
              <w14:schemeClr w14:val="tx1"/>
            </w14:solidFill>
          </w14:textFill>
        </w:rPr>
        <w:t>谈判评审小组对满足谈判文件实质要求的响应文件，按最终报价由低到高的顺序推荐成交候选人。</w:t>
      </w:r>
    </w:p>
    <w:p w14:paraId="096DF17F">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7.</w:t>
      </w:r>
      <w:r>
        <w:rPr>
          <w:rFonts w:hAnsiTheme="minorEastAsia" w:eastAsiaTheme="minorEastAsia"/>
          <w:b/>
          <w:color w:val="000000" w:themeColor="text1"/>
          <w:szCs w:val="21"/>
          <w:highlight w:val="none"/>
          <w14:textFill>
            <w14:solidFill>
              <w14:schemeClr w14:val="tx1"/>
            </w14:solidFill>
          </w14:textFill>
        </w:rPr>
        <w:t>谈判保证金</w:t>
      </w:r>
    </w:p>
    <w:p w14:paraId="111BA9DB">
      <w:pPr>
        <w:spacing w:line="360" w:lineRule="exact"/>
        <w:ind w:firstLine="422"/>
        <w:jc w:val="left"/>
        <w:rPr>
          <w:rFonts w:hint="eastAsia"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本项目谈判保证金为</w:t>
      </w:r>
      <w:r>
        <w:rPr>
          <w:rFonts w:hint="eastAsia" w:eastAsiaTheme="minorEastAsia"/>
          <w:b/>
          <w:bCs/>
          <w:color w:val="000000" w:themeColor="text1"/>
          <w:szCs w:val="21"/>
          <w:highlight w:val="none"/>
          <w:u w:val="single"/>
          <w14:textFill>
            <w14:solidFill>
              <w14:schemeClr w14:val="tx1"/>
            </w14:solidFill>
          </w14:textFill>
        </w:rPr>
        <w:t xml:space="preserve"> </w:t>
      </w:r>
      <w:r>
        <w:rPr>
          <w:rFonts w:hint="eastAsia" w:eastAsiaTheme="minorEastAsia"/>
          <w:b/>
          <w:bCs/>
          <w:color w:val="000000" w:themeColor="text1"/>
          <w:szCs w:val="21"/>
          <w:highlight w:val="none"/>
          <w:u w:val="single"/>
          <w:lang w:val="en-US" w:eastAsia="zh-CN"/>
          <w14:textFill>
            <w14:solidFill>
              <w14:schemeClr w14:val="tx1"/>
            </w14:solidFill>
          </w14:textFill>
        </w:rPr>
        <w:t>1.0</w:t>
      </w:r>
      <w:r>
        <w:rPr>
          <w:rFonts w:hint="eastAsia" w:eastAsiaTheme="minorEastAsia"/>
          <w:b/>
          <w:bCs/>
          <w:color w:val="000000" w:themeColor="text1"/>
          <w:szCs w:val="21"/>
          <w:highlight w:val="none"/>
          <w:u w:val="single"/>
          <w14:textFill>
            <w14:solidFill>
              <w14:schemeClr w14:val="tx1"/>
            </w14:solidFill>
          </w14:textFill>
        </w:rPr>
        <w:t xml:space="preserve"> </w:t>
      </w:r>
      <w:r>
        <w:rPr>
          <w:rFonts w:hAnsiTheme="minorEastAsia" w:eastAsiaTheme="minorEastAsia"/>
          <w:b/>
          <w:bCs/>
          <w:color w:val="000000" w:themeColor="text1"/>
          <w:szCs w:val="21"/>
          <w:highlight w:val="none"/>
          <w14:textFill>
            <w14:solidFill>
              <w14:schemeClr w14:val="tx1"/>
            </w14:solidFill>
          </w14:textFill>
        </w:rPr>
        <w:t>万元</w:t>
      </w:r>
      <w:r>
        <w:rPr>
          <w:rFonts w:hAnsiTheme="minorEastAsia" w:eastAsiaTheme="minorEastAsia"/>
          <w:color w:val="000000" w:themeColor="text1"/>
          <w:szCs w:val="21"/>
          <w:highlight w:val="none"/>
          <w14:textFill>
            <w14:solidFill>
              <w14:schemeClr w14:val="tx1"/>
            </w14:solidFill>
          </w14:textFill>
        </w:rPr>
        <w:t>，</w:t>
      </w:r>
      <w:r>
        <w:rPr>
          <w:rFonts w:hint="eastAsia" w:hAnsiTheme="minorEastAsia" w:eastAsiaTheme="minorEastAsia"/>
          <w:color w:val="000000" w:themeColor="text1"/>
          <w:szCs w:val="21"/>
          <w:highlight w:val="none"/>
          <w14:textFill>
            <w14:solidFill>
              <w14:schemeClr w14:val="tx1"/>
            </w14:solidFill>
          </w14:textFill>
        </w:rPr>
        <w:t>供应商必须于响应文件递交截止时间前缴纳谈判保证金。</w:t>
      </w:r>
      <w:r>
        <w:rPr>
          <w:rFonts w:hint="eastAsia" w:hAnsiTheme="minorEastAsia" w:eastAsiaTheme="minorEastAsia"/>
          <w:b/>
          <w:bCs/>
          <w:color w:val="000000" w:themeColor="text1"/>
          <w:szCs w:val="21"/>
          <w:highlight w:val="none"/>
          <w14:textFill>
            <w14:solidFill>
              <w14:schemeClr w14:val="tx1"/>
            </w14:solidFill>
          </w14:textFill>
        </w:rPr>
        <w:t>采用转账、电汇、网银等形式缴纳谈判保证金的，保证金应以供应商的基本存款账户缴纳，以个人、企业的办事处、分公司、子公司名义或从他人账户、供应商企业的其他账户缴纳的谈判保证金无效</w:t>
      </w:r>
      <w:r>
        <w:rPr>
          <w:rFonts w:hint="eastAsia" w:hAnsiTheme="minorEastAsia" w:eastAsiaTheme="minorEastAsia"/>
          <w:color w:val="000000" w:themeColor="text1"/>
          <w:szCs w:val="21"/>
          <w:highlight w:val="none"/>
          <w14:textFill>
            <w14:solidFill>
              <w14:schemeClr w14:val="tx1"/>
            </w14:solidFill>
          </w14:textFill>
        </w:rPr>
        <w:t>。超出谈判文件规定时间和要求递交谈判保证金的，采购人将视为不响应谈判文件而取消其谈判资格。</w:t>
      </w:r>
    </w:p>
    <w:p w14:paraId="63C0E974">
      <w:pPr>
        <w:numPr>
          <w:ilvl w:val="0"/>
          <w:numId w:val="0"/>
        </w:numPr>
        <w:spacing w:line="360" w:lineRule="exact"/>
        <w:ind w:firstLine="422" w:firstLineChars="200"/>
        <w:jc w:val="left"/>
        <w:rPr>
          <w:rFonts w:hAnsiTheme="minorEastAsia" w:eastAsiaTheme="minorEastAsia"/>
          <w:b/>
          <w:color w:val="000000" w:themeColor="text1"/>
          <w:szCs w:val="21"/>
          <w:highlight w:val="none"/>
          <w14:textFill>
            <w14:solidFill>
              <w14:schemeClr w14:val="tx1"/>
            </w14:solidFill>
          </w14:textFill>
        </w:rPr>
      </w:pPr>
      <w:r>
        <w:rPr>
          <w:rFonts w:hint="eastAsia" w:hAnsiTheme="minorEastAsia" w:eastAsiaTheme="minorEastAsia"/>
          <w:b/>
          <w:color w:val="000000" w:themeColor="text1"/>
          <w:szCs w:val="21"/>
          <w:highlight w:val="none"/>
          <w:lang w:val="en-US" w:eastAsia="zh-CN"/>
          <w14:textFill>
            <w14:solidFill>
              <w14:schemeClr w14:val="tx1"/>
            </w14:solidFill>
          </w14:textFill>
        </w:rPr>
        <w:t>8.</w:t>
      </w:r>
      <w:r>
        <w:rPr>
          <w:rFonts w:hAnsiTheme="minorEastAsia" w:eastAsiaTheme="minorEastAsia"/>
          <w:b/>
          <w:color w:val="000000" w:themeColor="text1"/>
          <w:szCs w:val="21"/>
          <w:highlight w:val="none"/>
          <w14:textFill>
            <w14:solidFill>
              <w14:schemeClr w14:val="tx1"/>
            </w14:solidFill>
          </w14:textFill>
        </w:rPr>
        <w:t>本次竞争性谈判报名相关事项联系人及联系电话：</w:t>
      </w:r>
    </w:p>
    <w:tbl>
      <w:tblPr>
        <w:tblStyle w:val="4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2"/>
      </w:tblGrid>
      <w:tr w14:paraId="12AD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tcPr>
          <w:p w14:paraId="44436E50">
            <w:pPr>
              <w:spacing w:line="360" w:lineRule="exact"/>
              <w:ind w:firstLine="0" w:firstLineChars="0"/>
              <w:jc w:val="left"/>
              <w:rPr>
                <w:rFonts w:hint="eastAsia" w:eastAsia="宋体" w:hAnsi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采</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购</w:t>
            </w:r>
            <w:r>
              <w:rPr>
                <w:color w:val="000000" w:themeColor="text1"/>
                <w:szCs w:val="21"/>
                <w:highlight w:val="none"/>
                <w14:textFill>
                  <w14:solidFill>
                    <w14:schemeClr w14:val="tx1"/>
                  </w14:solidFill>
                </w14:textFill>
              </w:rPr>
              <w:t xml:space="preserve"> 人：</w:t>
            </w:r>
            <w:r>
              <w:rPr>
                <w:rFonts w:hint="eastAsia"/>
                <w:color w:val="000000" w:themeColor="text1"/>
                <w:szCs w:val="21"/>
                <w:highlight w:val="none"/>
                <w:lang w:val="en-US" w:eastAsia="zh-CN"/>
                <w14:textFill>
                  <w14:solidFill>
                    <w14:schemeClr w14:val="tx1"/>
                  </w14:solidFill>
                </w14:textFill>
              </w:rPr>
              <w:t>连云港徐圩建筑工程有限公司</w:t>
            </w:r>
          </w:p>
        </w:tc>
      </w:tr>
      <w:tr w14:paraId="2288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1310BEA5">
            <w:pPr>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    址：</w:t>
            </w:r>
            <w:r>
              <w:rPr>
                <w:rFonts w:hint="eastAsia"/>
                <w:color w:val="000000" w:themeColor="text1"/>
                <w:szCs w:val="21"/>
                <w:highlight w:val="none"/>
                <w14:textFill>
                  <w14:solidFill>
                    <w14:schemeClr w14:val="tx1"/>
                  </w14:solidFill>
                </w14:textFill>
              </w:rPr>
              <w:t>江苏省连云港市连云区徐圩新区应急救援指挥中心F楼</w:t>
            </w:r>
          </w:p>
        </w:tc>
      </w:tr>
      <w:tr w14:paraId="27F6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39B274F5">
            <w:pPr>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r>
              <w:rPr>
                <w:rFonts w:hint="eastAsia"/>
                <w:color w:val="000000" w:themeColor="text1"/>
                <w:szCs w:val="21"/>
                <w:highlight w:val="none"/>
                <w:lang w:val="en-US" w:eastAsia="zh-CN"/>
                <w14:textFill>
                  <w14:solidFill>
                    <w14:schemeClr w14:val="tx1"/>
                  </w14:solidFill>
                </w14:textFill>
              </w:rPr>
              <w:t>赵工</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tc>
      </w:tr>
      <w:tr w14:paraId="04D4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59592E0A">
            <w:pPr>
              <w:spacing w:line="360" w:lineRule="exact"/>
              <w:ind w:firstLine="0" w:firstLineChars="0"/>
              <w:jc w:val="left"/>
              <w:rPr>
                <w:rFonts w:hint="default" w:hAnsiTheme="minorEastAsia" w:eastAsiaTheme="minorEastAsia"/>
                <w:color w:val="000000" w:themeColor="text1"/>
                <w:szCs w:val="21"/>
                <w:highlight w:val="none"/>
                <w:lang w:val="en-US"/>
                <w14:textFill>
                  <w14:solidFill>
                    <w14:schemeClr w14:val="tx1"/>
                  </w14:solidFill>
                </w14:textFill>
              </w:rPr>
            </w:pPr>
            <w:r>
              <w:rPr>
                <w:color w:val="000000" w:themeColor="text1"/>
                <w:szCs w:val="21"/>
                <w:highlight w:val="none"/>
                <w14:textFill>
                  <w14:solidFill>
                    <w14:schemeClr w14:val="tx1"/>
                  </w14:solidFill>
                </w14:textFill>
              </w:rPr>
              <w:t>电    话</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0518-80198883   15951253067</w:t>
            </w:r>
          </w:p>
        </w:tc>
      </w:tr>
      <w:tr w14:paraId="5B1A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2064662D">
            <w:pPr>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r>
              <w:rPr>
                <w:rFonts w:hint="eastAsia"/>
                <w:color w:val="000000" w:themeColor="text1"/>
                <w:szCs w:val="21"/>
                <w:highlight w:val="none"/>
                <w14:textFill>
                  <w14:solidFill>
                    <w14:schemeClr w14:val="tx1"/>
                  </w14:solidFill>
                </w14:textFill>
              </w:rPr>
              <w:t>xwjzhtb@126.com</w:t>
            </w:r>
          </w:p>
        </w:tc>
      </w:tr>
      <w:bookmarkEnd w:id="3"/>
      <w:bookmarkEnd w:id="4"/>
      <w:bookmarkEnd w:id="5"/>
      <w:bookmarkEnd w:id="6"/>
      <w:bookmarkEnd w:id="7"/>
      <w:bookmarkEnd w:id="8"/>
      <w:bookmarkEnd w:id="9"/>
      <w:bookmarkEnd w:id="11"/>
    </w:tbl>
    <w:p w14:paraId="5FA3C4DF">
      <w:pPr>
        <w:adjustRightInd w:val="0"/>
        <w:snapToGrid w:val="0"/>
        <w:spacing w:line="360" w:lineRule="auto"/>
        <w:ind w:firstLine="0" w:firstLineChars="0"/>
        <w:jc w:val="left"/>
        <w:rPr>
          <w:b/>
          <w:bCs/>
          <w:szCs w:val="21"/>
          <w:highlight w:val="none"/>
        </w:rPr>
      </w:pPr>
      <w:r>
        <w:rPr>
          <w:b/>
          <w:bCs/>
          <w:szCs w:val="21"/>
          <w:highlight w:val="none"/>
        </w:rPr>
        <w:t>特别提醒：</w:t>
      </w:r>
    </w:p>
    <w:p w14:paraId="59F9EE06">
      <w:pPr>
        <w:adjustRightInd w:val="0"/>
        <w:snapToGrid w:val="0"/>
        <w:spacing w:line="360" w:lineRule="auto"/>
        <w:ind w:firstLine="420"/>
        <w:rPr>
          <w:color w:val="FF0000"/>
          <w:szCs w:val="21"/>
          <w:highlight w:val="none"/>
        </w:rPr>
      </w:pPr>
      <w:r>
        <w:rPr>
          <w:color w:val="FF0000"/>
          <w:szCs w:val="21"/>
          <w:highlight w:val="none"/>
        </w:rPr>
        <w:t>1.本次</w:t>
      </w:r>
      <w:r>
        <w:rPr>
          <w:rFonts w:hint="eastAsia"/>
          <w:color w:val="FF0000"/>
          <w:szCs w:val="21"/>
          <w:highlight w:val="none"/>
        </w:rPr>
        <w:t>采购</w:t>
      </w:r>
      <w:r>
        <w:rPr>
          <w:color w:val="FF0000"/>
          <w:szCs w:val="21"/>
          <w:highlight w:val="none"/>
        </w:rPr>
        <w:t>要求网络上传</w:t>
      </w:r>
      <w:r>
        <w:rPr>
          <w:rFonts w:hint="eastAsia"/>
          <w:color w:val="FF0000"/>
          <w:szCs w:val="21"/>
          <w:highlight w:val="none"/>
        </w:rPr>
        <w:t>电子响应文件</w:t>
      </w:r>
      <w:r>
        <w:rPr>
          <w:color w:val="FF0000"/>
          <w:szCs w:val="21"/>
          <w:highlight w:val="none"/>
        </w:rPr>
        <w:t>，并在</w:t>
      </w:r>
      <w:r>
        <w:rPr>
          <w:b/>
          <w:bCs/>
          <w:color w:val="FF0000"/>
          <w:szCs w:val="21"/>
          <w:highlight w:val="none"/>
        </w:rPr>
        <w:t>响应文件递交截止</w:t>
      </w:r>
      <w:r>
        <w:rPr>
          <w:color w:val="FF0000"/>
          <w:szCs w:val="21"/>
          <w:highlight w:val="none"/>
        </w:rPr>
        <w:t>时间前完成网上</w:t>
      </w:r>
      <w:r>
        <w:rPr>
          <w:rFonts w:hint="eastAsia"/>
          <w:color w:val="FF0000"/>
          <w:szCs w:val="21"/>
          <w:highlight w:val="none"/>
        </w:rPr>
        <w:t>电子响应文件</w:t>
      </w:r>
      <w:r>
        <w:rPr>
          <w:color w:val="FF0000"/>
          <w:szCs w:val="21"/>
          <w:highlight w:val="none"/>
        </w:rPr>
        <w:t>上传。</w:t>
      </w:r>
    </w:p>
    <w:p w14:paraId="12357D47">
      <w:pPr>
        <w:adjustRightInd w:val="0"/>
        <w:snapToGrid w:val="0"/>
        <w:spacing w:line="360" w:lineRule="auto"/>
        <w:ind w:firstLine="420"/>
        <w:rPr>
          <w:color w:val="FF0000"/>
          <w:szCs w:val="21"/>
          <w:highlight w:val="none"/>
        </w:rPr>
      </w:pPr>
      <w:r>
        <w:rPr>
          <w:color w:val="FF0000"/>
          <w:szCs w:val="21"/>
          <w:highlight w:val="none"/>
        </w:rPr>
        <w:t>2.</w:t>
      </w:r>
      <w:r>
        <w:rPr>
          <w:rFonts w:hint="eastAsia"/>
          <w:color w:val="FF0000"/>
          <w:szCs w:val="21"/>
          <w:highlight w:val="none"/>
        </w:rPr>
        <w:t>供应商</w:t>
      </w:r>
      <w:r>
        <w:rPr>
          <w:color w:val="FF0000"/>
          <w:szCs w:val="21"/>
          <w:highlight w:val="none"/>
        </w:rPr>
        <w:t>在网上下载</w:t>
      </w:r>
      <w:r>
        <w:rPr>
          <w:rFonts w:hint="eastAsia"/>
          <w:color w:val="FF0000"/>
          <w:szCs w:val="21"/>
          <w:highlight w:val="none"/>
        </w:rPr>
        <w:t>采购</w:t>
      </w:r>
      <w:r>
        <w:rPr>
          <w:color w:val="FF0000"/>
          <w:szCs w:val="21"/>
          <w:highlight w:val="none"/>
        </w:rPr>
        <w:t>文件,</w:t>
      </w:r>
      <w:r>
        <w:rPr>
          <w:rFonts w:hint="eastAsia"/>
          <w:color w:val="FF0000"/>
          <w:szCs w:val="21"/>
          <w:highlight w:val="none"/>
        </w:rPr>
        <w:t>根据采购文件要求</w:t>
      </w:r>
      <w:r>
        <w:rPr>
          <w:color w:val="FF0000"/>
          <w:szCs w:val="21"/>
          <w:highlight w:val="none"/>
        </w:rPr>
        <w:t>及时制作</w:t>
      </w:r>
      <w:r>
        <w:rPr>
          <w:rFonts w:hint="eastAsia"/>
          <w:color w:val="FF0000"/>
          <w:szCs w:val="21"/>
          <w:highlight w:val="none"/>
        </w:rPr>
        <w:t>电子响应文件</w:t>
      </w:r>
      <w:r>
        <w:rPr>
          <w:color w:val="FF0000"/>
          <w:szCs w:val="21"/>
          <w:highlight w:val="none"/>
        </w:rPr>
        <w:t>。本次</w:t>
      </w:r>
      <w:r>
        <w:rPr>
          <w:rFonts w:hint="eastAsia"/>
          <w:color w:val="FF0000"/>
          <w:szCs w:val="21"/>
          <w:highlight w:val="none"/>
        </w:rPr>
        <w:t>采购供应商</w:t>
      </w:r>
      <w:r>
        <w:rPr>
          <w:color w:val="FF0000"/>
          <w:szCs w:val="21"/>
          <w:highlight w:val="none"/>
        </w:rPr>
        <w:t>务必</w:t>
      </w:r>
      <w:r>
        <w:rPr>
          <w:rFonts w:hint="eastAsia"/>
          <w:color w:val="FF0000"/>
          <w:szCs w:val="21"/>
          <w:highlight w:val="none"/>
        </w:rPr>
        <w:t>登陆</w:t>
      </w:r>
      <w:r>
        <w:rPr>
          <w:rFonts w:hint="eastAsia"/>
          <w:color w:val="FF0000"/>
          <w:szCs w:val="21"/>
          <w:highlight w:val="none"/>
          <w:lang w:eastAsia="zh-CN"/>
        </w:rPr>
        <w:t>“方洋集团物资采购平台”</w:t>
      </w:r>
      <w:r>
        <w:rPr>
          <w:rFonts w:hint="eastAsia"/>
          <w:color w:val="FF0000"/>
          <w:szCs w:val="21"/>
          <w:highlight w:val="none"/>
        </w:rPr>
        <w:t>下载中心下载</w:t>
      </w:r>
      <w:r>
        <w:rPr>
          <w:color w:val="FF0000"/>
          <w:highlight w:val="none"/>
        </w:rPr>
        <w:fldChar w:fldCharType="begin"/>
      </w:r>
      <w:r>
        <w:rPr>
          <w:color w:val="FF0000"/>
          <w:highlight w:val="none"/>
        </w:rPr>
        <w:instrText xml:space="preserve"> HYPERLINK "http://zb.fygroup.com/home/downLoadDetail/71" </w:instrText>
      </w:r>
      <w:r>
        <w:rPr>
          <w:color w:val="FF0000"/>
          <w:highlight w:val="none"/>
        </w:rPr>
        <w:fldChar w:fldCharType="separate"/>
      </w:r>
      <w:r>
        <w:rPr>
          <w:rStyle w:val="56"/>
          <w:rFonts w:hint="eastAsia"/>
          <w:color w:val="FF0000"/>
          <w:szCs w:val="21"/>
          <w:highlight w:val="none"/>
        </w:rPr>
        <w:t>用户手册</w:t>
      </w:r>
      <w:r>
        <w:rPr>
          <w:rStyle w:val="56"/>
          <w:rFonts w:hint="eastAsia"/>
          <w:color w:val="FF0000"/>
          <w:szCs w:val="21"/>
          <w:highlight w:val="none"/>
        </w:rPr>
        <w:fldChar w:fldCharType="end"/>
      </w:r>
      <w:r>
        <w:rPr>
          <w:color w:val="FF0000"/>
          <w:szCs w:val="21"/>
          <w:highlight w:val="none"/>
        </w:rPr>
        <w:t>，</w:t>
      </w:r>
      <w:r>
        <w:rPr>
          <w:rFonts w:hint="eastAsia"/>
          <w:color w:val="FF0000"/>
          <w:szCs w:val="21"/>
          <w:highlight w:val="none"/>
        </w:rPr>
        <w:t>供应商</w:t>
      </w:r>
      <w:r>
        <w:rPr>
          <w:color w:val="FF0000"/>
          <w:szCs w:val="21"/>
          <w:highlight w:val="none"/>
        </w:rPr>
        <w:t>制作</w:t>
      </w:r>
      <w:r>
        <w:rPr>
          <w:rFonts w:hint="eastAsia"/>
          <w:color w:val="FF0000"/>
          <w:szCs w:val="21"/>
          <w:highlight w:val="none"/>
        </w:rPr>
        <w:t>电子响应文件</w:t>
      </w:r>
      <w:r>
        <w:rPr>
          <w:color w:val="FF0000"/>
          <w:szCs w:val="21"/>
          <w:highlight w:val="none"/>
        </w:rPr>
        <w:t>时</w:t>
      </w:r>
      <w:r>
        <w:rPr>
          <w:rFonts w:hint="eastAsia"/>
          <w:color w:val="FF0000"/>
          <w:szCs w:val="21"/>
          <w:highlight w:val="none"/>
        </w:rPr>
        <w:t>请依据</w:t>
      </w:r>
      <w:r>
        <w:rPr>
          <w:color w:val="FF0000"/>
          <w:szCs w:val="21"/>
          <w:highlight w:val="none"/>
        </w:rPr>
        <w:fldChar w:fldCharType="begin"/>
      </w:r>
      <w:r>
        <w:rPr>
          <w:color w:val="FF0000"/>
          <w:szCs w:val="21"/>
          <w:highlight w:val="none"/>
        </w:rPr>
        <w:instrText xml:space="preserve"> HYPERLINK "http://zb.fygroup.com/home/downLoadDetail/71" </w:instrText>
      </w:r>
      <w:r>
        <w:rPr>
          <w:color w:val="FF0000"/>
          <w:szCs w:val="21"/>
          <w:highlight w:val="none"/>
        </w:rPr>
        <w:fldChar w:fldCharType="separate"/>
      </w:r>
      <w:r>
        <w:rPr>
          <w:rStyle w:val="56"/>
          <w:rFonts w:hint="eastAsia"/>
          <w:color w:val="FF0000"/>
          <w:szCs w:val="21"/>
          <w:highlight w:val="none"/>
        </w:rPr>
        <w:t>用户手册</w:t>
      </w:r>
      <w:r>
        <w:rPr>
          <w:color w:val="FF0000"/>
          <w:szCs w:val="21"/>
          <w:highlight w:val="none"/>
        </w:rPr>
        <w:fldChar w:fldCharType="end"/>
      </w:r>
      <w:r>
        <w:rPr>
          <w:rFonts w:hint="eastAsia"/>
          <w:color w:val="FF0000"/>
          <w:szCs w:val="21"/>
          <w:highlight w:val="none"/>
        </w:rPr>
        <w:t>要求制作</w:t>
      </w:r>
      <w:r>
        <w:rPr>
          <w:color w:val="FF0000"/>
          <w:szCs w:val="21"/>
          <w:highlight w:val="none"/>
        </w:rPr>
        <w:t>，如因</w:t>
      </w:r>
      <w:r>
        <w:rPr>
          <w:rFonts w:hint="eastAsia"/>
          <w:color w:val="FF0000"/>
          <w:szCs w:val="21"/>
          <w:highlight w:val="none"/>
        </w:rPr>
        <w:t>供应商</w:t>
      </w:r>
      <w:r>
        <w:rPr>
          <w:color w:val="FF0000"/>
          <w:szCs w:val="21"/>
          <w:highlight w:val="none"/>
        </w:rPr>
        <w:t>未按</w:t>
      </w:r>
      <w:r>
        <w:rPr>
          <w:color w:val="FF0000"/>
          <w:highlight w:val="none"/>
        </w:rPr>
        <w:fldChar w:fldCharType="begin"/>
      </w:r>
      <w:r>
        <w:rPr>
          <w:color w:val="FF0000"/>
          <w:highlight w:val="none"/>
        </w:rPr>
        <w:instrText xml:space="preserve"> HYPERLINK "http://zb.fygroup.com/home/downLoadDetail/71" </w:instrText>
      </w:r>
      <w:r>
        <w:rPr>
          <w:color w:val="FF0000"/>
          <w:highlight w:val="none"/>
        </w:rPr>
        <w:fldChar w:fldCharType="separate"/>
      </w:r>
      <w:r>
        <w:rPr>
          <w:rStyle w:val="56"/>
          <w:rFonts w:hint="eastAsia"/>
          <w:color w:val="FF0000"/>
          <w:szCs w:val="21"/>
          <w:highlight w:val="none"/>
        </w:rPr>
        <w:t>用户手册</w:t>
      </w:r>
      <w:r>
        <w:rPr>
          <w:rStyle w:val="56"/>
          <w:rFonts w:hint="eastAsia"/>
          <w:color w:val="FF0000"/>
          <w:szCs w:val="21"/>
          <w:highlight w:val="none"/>
          <w:lang w:eastAsia="zh-CN"/>
        </w:rPr>
        <w:t>要求</w:t>
      </w:r>
      <w:r>
        <w:rPr>
          <w:rStyle w:val="56"/>
          <w:rFonts w:hint="eastAsia"/>
          <w:color w:val="FF0000"/>
          <w:szCs w:val="21"/>
          <w:highlight w:val="none"/>
        </w:rPr>
        <w:fldChar w:fldCharType="end"/>
      </w:r>
      <w:r>
        <w:rPr>
          <w:color w:val="FF0000"/>
          <w:szCs w:val="21"/>
          <w:highlight w:val="none"/>
        </w:rPr>
        <w:t>执行造成的一切后果（包括作无效标处理）均由</w:t>
      </w:r>
      <w:r>
        <w:rPr>
          <w:rFonts w:hint="eastAsia"/>
          <w:color w:val="FF0000"/>
          <w:szCs w:val="21"/>
          <w:highlight w:val="none"/>
        </w:rPr>
        <w:t>供应商</w:t>
      </w:r>
      <w:r>
        <w:rPr>
          <w:color w:val="FF0000"/>
          <w:szCs w:val="21"/>
          <w:highlight w:val="none"/>
        </w:rPr>
        <w:t>自行承担。</w:t>
      </w:r>
    </w:p>
    <w:p w14:paraId="3AE7E457">
      <w:pPr>
        <w:adjustRightInd w:val="0"/>
        <w:snapToGrid w:val="0"/>
        <w:spacing w:line="360" w:lineRule="auto"/>
        <w:ind w:firstLine="420"/>
        <w:rPr>
          <w:szCs w:val="21"/>
          <w:highlight w:val="none"/>
        </w:rPr>
      </w:pPr>
      <w:r>
        <w:rPr>
          <w:szCs w:val="21"/>
          <w:highlight w:val="none"/>
        </w:rPr>
        <w:t>3.在</w:t>
      </w:r>
      <w:r>
        <w:rPr>
          <w:b/>
          <w:bCs/>
          <w:szCs w:val="21"/>
          <w:highlight w:val="none"/>
        </w:rPr>
        <w:t>响应文件递交截止</w:t>
      </w:r>
      <w:r>
        <w:rPr>
          <w:szCs w:val="21"/>
          <w:highlight w:val="none"/>
        </w:rPr>
        <w:t>时间前，因</w:t>
      </w:r>
      <w:r>
        <w:rPr>
          <w:rFonts w:hint="eastAsia"/>
          <w:szCs w:val="21"/>
          <w:highlight w:val="none"/>
        </w:rPr>
        <w:t>交易服务</w:t>
      </w:r>
      <w:r>
        <w:rPr>
          <w:szCs w:val="21"/>
          <w:highlight w:val="none"/>
        </w:rPr>
        <w:t>平台故障导致</w:t>
      </w:r>
      <w:r>
        <w:rPr>
          <w:rFonts w:hint="eastAsia"/>
          <w:szCs w:val="21"/>
          <w:highlight w:val="none"/>
        </w:rPr>
        <w:t>供应商</w:t>
      </w:r>
      <w:r>
        <w:rPr>
          <w:szCs w:val="21"/>
          <w:highlight w:val="none"/>
        </w:rPr>
        <w:t>无法提交</w:t>
      </w:r>
      <w:r>
        <w:rPr>
          <w:rFonts w:hint="eastAsia"/>
          <w:szCs w:val="21"/>
          <w:highlight w:val="none"/>
        </w:rPr>
        <w:t>电子响应文件</w:t>
      </w:r>
      <w:r>
        <w:rPr>
          <w:szCs w:val="21"/>
          <w:highlight w:val="none"/>
        </w:rPr>
        <w:t>；或者在</w:t>
      </w:r>
      <w:r>
        <w:rPr>
          <w:b/>
          <w:bCs/>
          <w:szCs w:val="21"/>
          <w:highlight w:val="none"/>
        </w:rPr>
        <w:t>响应文件递交截止</w:t>
      </w:r>
      <w:r>
        <w:rPr>
          <w:szCs w:val="21"/>
          <w:highlight w:val="none"/>
        </w:rPr>
        <w:t>时间后，因</w:t>
      </w:r>
      <w:r>
        <w:rPr>
          <w:rFonts w:hint="eastAsia"/>
          <w:szCs w:val="21"/>
          <w:highlight w:val="none"/>
        </w:rPr>
        <w:t>交易服务</w:t>
      </w:r>
      <w:r>
        <w:rPr>
          <w:szCs w:val="21"/>
          <w:highlight w:val="none"/>
        </w:rPr>
        <w:t>平台导致</w:t>
      </w:r>
      <w:r>
        <w:rPr>
          <w:rFonts w:hint="eastAsia"/>
          <w:szCs w:val="21"/>
          <w:highlight w:val="none"/>
        </w:rPr>
        <w:t>线上采购</w:t>
      </w:r>
      <w:r>
        <w:rPr>
          <w:szCs w:val="21"/>
          <w:highlight w:val="none"/>
        </w:rPr>
        <w:t>活动无法进行；或者开标结束后，因</w:t>
      </w:r>
      <w:r>
        <w:rPr>
          <w:rFonts w:hint="eastAsia"/>
          <w:szCs w:val="21"/>
          <w:highlight w:val="none"/>
        </w:rPr>
        <w:t>交易服务</w:t>
      </w:r>
      <w:r>
        <w:rPr>
          <w:szCs w:val="21"/>
          <w:highlight w:val="none"/>
        </w:rPr>
        <w:t>平台故障导致无法</w:t>
      </w:r>
      <w:r>
        <w:rPr>
          <w:rFonts w:hint="eastAsia"/>
          <w:szCs w:val="21"/>
          <w:highlight w:val="none"/>
        </w:rPr>
        <w:t>评审</w:t>
      </w:r>
      <w:r>
        <w:rPr>
          <w:szCs w:val="21"/>
          <w:highlight w:val="none"/>
        </w:rPr>
        <w:t>时，</w:t>
      </w:r>
      <w:r>
        <w:rPr>
          <w:rFonts w:hint="eastAsia"/>
          <w:szCs w:val="21"/>
          <w:highlight w:val="none"/>
        </w:rPr>
        <w:t>采购</w:t>
      </w:r>
      <w:r>
        <w:rPr>
          <w:szCs w:val="21"/>
          <w:highlight w:val="none"/>
        </w:rPr>
        <w:t>人可以选择暂停</w:t>
      </w:r>
      <w:r>
        <w:rPr>
          <w:rFonts w:hint="eastAsia"/>
          <w:szCs w:val="21"/>
          <w:highlight w:val="none"/>
        </w:rPr>
        <w:t>采购</w:t>
      </w:r>
      <w:r>
        <w:rPr>
          <w:szCs w:val="21"/>
          <w:highlight w:val="none"/>
        </w:rPr>
        <w:t>活动。</w:t>
      </w:r>
    </w:p>
    <w:p w14:paraId="0CFF638C">
      <w:pPr>
        <w:adjustRightInd w:val="0"/>
        <w:snapToGrid w:val="0"/>
        <w:spacing w:line="360" w:lineRule="auto"/>
        <w:ind w:firstLine="420"/>
        <w:rPr>
          <w:szCs w:val="21"/>
          <w:highlight w:val="none"/>
        </w:rPr>
      </w:pPr>
      <w:r>
        <w:rPr>
          <w:rFonts w:hint="eastAsia"/>
          <w:szCs w:val="21"/>
          <w:highlight w:val="none"/>
          <w:lang w:val="en-US" w:eastAsia="zh-CN"/>
        </w:rPr>
        <w:t>4</w:t>
      </w:r>
      <w:r>
        <w:rPr>
          <w:szCs w:val="21"/>
          <w:highlight w:val="none"/>
        </w:rPr>
        <w:t>.</w:t>
      </w:r>
      <w:r>
        <w:rPr>
          <w:rFonts w:hint="eastAsia"/>
          <w:szCs w:val="21"/>
          <w:highlight w:val="none"/>
        </w:rPr>
        <w:t>准备及参与采购活动</w:t>
      </w:r>
      <w:r>
        <w:rPr>
          <w:szCs w:val="21"/>
          <w:highlight w:val="none"/>
        </w:rPr>
        <w:t>过程中遇到</w:t>
      </w:r>
      <w:r>
        <w:rPr>
          <w:rFonts w:hint="eastAsia"/>
          <w:szCs w:val="21"/>
          <w:highlight w:val="none"/>
        </w:rPr>
        <w:t>平台技术</w:t>
      </w:r>
      <w:r>
        <w:rPr>
          <w:szCs w:val="21"/>
          <w:highlight w:val="none"/>
        </w:rPr>
        <w:t>问题可联系</w:t>
      </w:r>
      <w:r>
        <w:rPr>
          <w:rFonts w:hint="eastAsia"/>
          <w:szCs w:val="21"/>
          <w:highlight w:val="none"/>
        </w:rPr>
        <w:t>技术服务单位</w:t>
      </w:r>
      <w:r>
        <w:rPr>
          <w:szCs w:val="21"/>
          <w:highlight w:val="none"/>
        </w:rPr>
        <w:t>寻求技术支持。联系方式如下：</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6A28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vAlign w:val="center"/>
          </w:tcPr>
          <w:p w14:paraId="45C721B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szCs w:val="21"/>
                <w:highlight w:val="none"/>
              </w:rPr>
            </w:pPr>
            <w:r>
              <w:rPr>
                <w:b w:val="0"/>
                <w:bCs/>
                <w:szCs w:val="21"/>
                <w:highlight w:val="none"/>
              </w:rPr>
              <w:t>联系电话</w:t>
            </w:r>
          </w:p>
        </w:tc>
      </w:tr>
      <w:tr w14:paraId="2BF0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vAlign w:val="center"/>
          </w:tcPr>
          <w:p w14:paraId="37E5611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szCs w:val="21"/>
                <w:highlight w:val="none"/>
              </w:rPr>
            </w:pPr>
            <w:r>
              <w:rPr>
                <w:b w:val="0"/>
                <w:bCs/>
                <w:szCs w:val="21"/>
                <w:highlight w:val="none"/>
              </w:rPr>
              <w:t>183-5282-9895</w:t>
            </w:r>
          </w:p>
        </w:tc>
      </w:tr>
    </w:tbl>
    <w:p w14:paraId="13F9362A">
      <w:pPr>
        <w:spacing w:line="360" w:lineRule="exact"/>
        <w:ind w:left="0" w:leftChars="0" w:firstLine="0" w:firstLineChars="0"/>
        <w:jc w:val="left"/>
        <w:rPr>
          <w:rFonts w:eastAsiaTheme="minorEastAsia"/>
          <w:b/>
          <w:color w:val="000000" w:themeColor="text1"/>
          <w:szCs w:val="21"/>
          <w:highlight w:val="none"/>
          <w14:textFill>
            <w14:solidFill>
              <w14:schemeClr w14:val="tx1"/>
            </w14:solidFill>
          </w14:textFill>
        </w:rPr>
      </w:pPr>
    </w:p>
    <w:p w14:paraId="0845BAA7">
      <w:pPr>
        <w:ind w:left="0" w:leftChars="0" w:firstLine="0" w:firstLineChars="0"/>
        <w:jc w:val="left"/>
        <w:rPr>
          <w:rFonts w:hint="eastAsia" w:ascii="Times New Roman" w:hAnsi="黑体" w:eastAsia="宋体"/>
          <w:b w:val="0"/>
          <w:color w:val="000000" w:themeColor="text1"/>
          <w:kern w:val="2"/>
          <w:szCs w:val="24"/>
          <w:highlight w:val="none"/>
          <w:lang w:val="en-US" w:eastAsia="zh-CN"/>
          <w14:textFill>
            <w14:solidFill>
              <w14:schemeClr w14:val="tx1"/>
            </w14:solidFill>
          </w14:textFill>
        </w:rPr>
      </w:pPr>
      <w:r>
        <w:rPr>
          <w:rFonts w:hint="eastAsia" w:hAnsi="黑体"/>
          <w:b w:val="0"/>
          <w:color w:val="000000" w:themeColor="text1"/>
          <w:kern w:val="2"/>
          <w:szCs w:val="24"/>
          <w:highlight w:val="none"/>
          <w:lang w:val="en-US" w:eastAsia="zh-CN"/>
          <w14:textFill>
            <w14:solidFill>
              <w14:schemeClr w14:val="tx1"/>
            </w14:solidFill>
          </w14:textFill>
        </w:rPr>
        <w:t xml:space="preserve"> </w:t>
      </w:r>
    </w:p>
    <w:p w14:paraId="4FBB48CD">
      <w:pPr>
        <w:rPr>
          <w:rFonts w:ascii="Times New Roman" w:hAnsi="黑体"/>
          <w:b w:val="0"/>
          <w:color w:val="000000" w:themeColor="text1"/>
          <w:kern w:val="2"/>
          <w:szCs w:val="24"/>
          <w:highlight w:val="none"/>
          <w14:textFill>
            <w14:solidFill>
              <w14:schemeClr w14:val="tx1"/>
            </w14:solidFill>
          </w14:textFill>
        </w:rPr>
      </w:pPr>
      <w:bookmarkStart w:id="12" w:name="_Toc13863"/>
      <w:r>
        <w:rPr>
          <w:rFonts w:ascii="Times New Roman" w:hAnsi="黑体"/>
          <w:b w:val="0"/>
          <w:color w:val="000000" w:themeColor="text1"/>
          <w:kern w:val="2"/>
          <w:szCs w:val="24"/>
          <w:highlight w:val="none"/>
          <w14:textFill>
            <w14:solidFill>
              <w14:schemeClr w14:val="tx1"/>
            </w14:solidFill>
          </w14:textFill>
        </w:rPr>
        <w:br w:type="page"/>
      </w:r>
    </w:p>
    <w:p w14:paraId="732F55BC">
      <w:pPr>
        <w:pStyle w:val="2"/>
        <w:spacing w:after="360" w:line="400" w:lineRule="atLeast"/>
        <w:ind w:firstLine="0" w:firstLineChars="0"/>
        <w:jc w:val="center"/>
        <w:rPr>
          <w:rFonts w:ascii="Times New Roman" w:hAnsi="Times New Roman"/>
          <w:b w:val="0"/>
          <w:color w:val="000000" w:themeColor="text1"/>
          <w:kern w:val="2"/>
          <w:szCs w:val="24"/>
          <w:highlight w:val="none"/>
          <w14:textFill>
            <w14:solidFill>
              <w14:schemeClr w14:val="tx1"/>
            </w14:solidFill>
          </w14:textFill>
        </w:rPr>
      </w:pPr>
      <w:r>
        <w:rPr>
          <w:rFonts w:ascii="Times New Roman" w:hAnsi="黑体"/>
          <w:b w:val="0"/>
          <w:color w:val="000000" w:themeColor="text1"/>
          <w:kern w:val="2"/>
          <w:szCs w:val="24"/>
          <w:highlight w:val="none"/>
          <w14:textFill>
            <w14:solidFill>
              <w14:schemeClr w14:val="tx1"/>
            </w14:solidFill>
          </w14:textFill>
        </w:rPr>
        <w:t>第二章</w:t>
      </w:r>
      <w:r>
        <w:rPr>
          <w:rFonts w:hint="eastAsia" w:ascii="Times New Roman" w:hAnsi="黑体"/>
          <w:b w:val="0"/>
          <w:color w:val="000000" w:themeColor="text1"/>
          <w:kern w:val="2"/>
          <w:szCs w:val="24"/>
          <w:highlight w:val="none"/>
          <w14:textFill>
            <w14:solidFill>
              <w14:schemeClr w14:val="tx1"/>
            </w14:solidFill>
          </w14:textFill>
        </w:rPr>
        <w:t xml:space="preserve"> 供应商</w:t>
      </w:r>
      <w:r>
        <w:rPr>
          <w:rFonts w:ascii="Times New Roman" w:hAnsi="黑体"/>
          <w:b w:val="0"/>
          <w:color w:val="000000" w:themeColor="text1"/>
          <w:kern w:val="2"/>
          <w:szCs w:val="24"/>
          <w:highlight w:val="none"/>
          <w14:textFill>
            <w14:solidFill>
              <w14:schemeClr w14:val="tx1"/>
            </w14:solidFill>
          </w14:textFill>
        </w:rPr>
        <w:t>须知</w:t>
      </w:r>
      <w:bookmarkEnd w:id="12"/>
    </w:p>
    <w:p w14:paraId="6E304B16">
      <w:pPr>
        <w:pStyle w:val="18"/>
        <w:ind w:firstLine="0" w:firstLineChars="0"/>
        <w:jc w:val="center"/>
        <w:rPr>
          <w:rFonts w:hAnsi="黑体"/>
          <w:b/>
          <w:bCs/>
          <w:color w:val="000000" w:themeColor="text1"/>
          <w:sz w:val="30"/>
          <w:szCs w:val="30"/>
          <w:highlight w:val="none"/>
          <w14:textFill>
            <w14:solidFill>
              <w14:schemeClr w14:val="tx1"/>
            </w14:solidFill>
          </w14:textFill>
        </w:rPr>
      </w:pPr>
      <w:r>
        <w:rPr>
          <w:rFonts w:hint="eastAsia" w:hAnsi="黑体"/>
          <w:b/>
          <w:bCs/>
          <w:color w:val="000000" w:themeColor="text1"/>
          <w:sz w:val="30"/>
          <w:szCs w:val="30"/>
          <w:highlight w:val="none"/>
          <w14:textFill>
            <w14:solidFill>
              <w14:schemeClr w14:val="tx1"/>
            </w14:solidFill>
          </w14:textFill>
        </w:rPr>
        <w:t>供应商</w:t>
      </w:r>
      <w:r>
        <w:rPr>
          <w:rFonts w:hAnsi="黑体"/>
          <w:b/>
          <w:bCs/>
          <w:color w:val="000000" w:themeColor="text1"/>
          <w:sz w:val="30"/>
          <w:szCs w:val="30"/>
          <w:highlight w:val="none"/>
          <w14:textFill>
            <w14:solidFill>
              <w14:schemeClr w14:val="tx1"/>
            </w14:solidFill>
          </w14:textFill>
        </w:rPr>
        <w:t>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63D9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7054F549">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条款号</w:t>
            </w:r>
          </w:p>
        </w:tc>
        <w:tc>
          <w:tcPr>
            <w:tcW w:w="2269" w:type="dxa"/>
            <w:vAlign w:val="center"/>
          </w:tcPr>
          <w:p w14:paraId="73CB7C06">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条款名称</w:t>
            </w:r>
          </w:p>
        </w:tc>
        <w:tc>
          <w:tcPr>
            <w:tcW w:w="5581" w:type="dxa"/>
            <w:vAlign w:val="center"/>
          </w:tcPr>
          <w:p w14:paraId="55553090">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编列内容</w:t>
            </w:r>
          </w:p>
        </w:tc>
      </w:tr>
      <w:tr w14:paraId="76A2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1E89FD40">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1</w:t>
            </w:r>
          </w:p>
        </w:tc>
        <w:tc>
          <w:tcPr>
            <w:tcW w:w="2269" w:type="dxa"/>
            <w:vAlign w:val="center"/>
          </w:tcPr>
          <w:p w14:paraId="5B17AE19">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w:t>
            </w:r>
          </w:p>
        </w:tc>
        <w:tc>
          <w:tcPr>
            <w:tcW w:w="5581" w:type="dxa"/>
            <w:vAlign w:val="center"/>
          </w:tcPr>
          <w:p w14:paraId="4EDF3ABB">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color w:val="000000" w:themeColor="text1"/>
                <w:szCs w:val="21"/>
                <w:highlight w:val="none"/>
                <w:lang w:val="en-US" w:eastAsia="zh-CN"/>
                <w14:textFill>
                  <w14:solidFill>
                    <w14:schemeClr w14:val="tx1"/>
                  </w14:solidFill>
                </w14:textFill>
              </w:rPr>
              <w:t>连云港徐圩建筑工程有限公司</w:t>
            </w:r>
          </w:p>
          <w:p w14:paraId="75D1B3D4">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color w:val="000000" w:themeColor="text1"/>
                <w:szCs w:val="21"/>
                <w:highlight w:val="none"/>
                <w14:textFill>
                  <w14:solidFill>
                    <w14:schemeClr w14:val="tx1"/>
                  </w14:solidFill>
                </w14:textFill>
              </w:rPr>
              <w:t>江苏省连云港市连云区徐圩新区应急救援指挥中心F楼</w:t>
            </w:r>
          </w:p>
          <w:p w14:paraId="3D5BDF39">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color w:val="000000" w:themeColor="text1"/>
                <w:szCs w:val="21"/>
                <w:highlight w:val="none"/>
                <w:lang w:val="en-US" w:eastAsia="zh-CN"/>
                <w14:textFill>
                  <w14:solidFill>
                    <w14:schemeClr w14:val="tx1"/>
                  </w14:solidFill>
                </w14:textFill>
              </w:rPr>
              <w:t>赵工</w:t>
            </w:r>
          </w:p>
          <w:p w14:paraId="475258AC">
            <w:pPr>
              <w:keepLines/>
              <w:widowControl/>
              <w:spacing w:line="360" w:lineRule="exact"/>
              <w:ind w:firstLine="0" w:firstLineChars="0"/>
              <w:rPr>
                <w:rFonts w:hint="default" w:ascii="宋体" w:hAnsi="宋体"/>
                <w:color w:val="000000" w:themeColor="text1"/>
                <w:szCs w:val="21"/>
                <w:highlight w:val="non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lang w:val="en-US" w:eastAsia="zh-CN"/>
                <w14:textFill>
                  <w14:solidFill>
                    <w14:schemeClr w14:val="tx1"/>
                  </w14:solidFill>
                </w14:textFill>
              </w:rPr>
              <w:t>15951253067</w:t>
            </w:r>
          </w:p>
        </w:tc>
      </w:tr>
      <w:tr w14:paraId="29C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235AAD12">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3</w:t>
            </w:r>
          </w:p>
        </w:tc>
        <w:tc>
          <w:tcPr>
            <w:tcW w:w="2269" w:type="dxa"/>
            <w:vAlign w:val="center"/>
          </w:tcPr>
          <w:p w14:paraId="59D959A0">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p>
        </w:tc>
        <w:tc>
          <w:tcPr>
            <w:tcW w:w="5581" w:type="dxa"/>
            <w:vAlign w:val="center"/>
          </w:tcPr>
          <w:p w14:paraId="4995ACE1">
            <w:pPr>
              <w:keepLines/>
              <w:widowControl/>
              <w:spacing w:line="360" w:lineRule="exact"/>
              <w:ind w:firstLine="0" w:firstLineChars="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长华化学新建二氧化碳聚醚及高性能多元醇项目雨水监控池、事故水池钢板及机械租赁  </w:t>
            </w:r>
          </w:p>
        </w:tc>
      </w:tr>
      <w:tr w14:paraId="01F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4A8B1A32">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w:t>
            </w:r>
          </w:p>
        </w:tc>
        <w:tc>
          <w:tcPr>
            <w:tcW w:w="2269" w:type="dxa"/>
            <w:vAlign w:val="center"/>
          </w:tcPr>
          <w:p w14:paraId="7CDC293B">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5581" w:type="dxa"/>
            <w:vAlign w:val="center"/>
          </w:tcPr>
          <w:p w14:paraId="08E3E069">
            <w:pPr>
              <w:keepLines/>
              <w:widowControl/>
              <w:spacing w:line="360" w:lineRule="exact"/>
              <w:ind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徐圩新区</w:t>
            </w:r>
          </w:p>
        </w:tc>
      </w:tr>
      <w:tr w14:paraId="3A8A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F5575A7">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w:t>
            </w:r>
          </w:p>
        </w:tc>
        <w:tc>
          <w:tcPr>
            <w:tcW w:w="2269" w:type="dxa"/>
            <w:vAlign w:val="center"/>
          </w:tcPr>
          <w:p w14:paraId="46BBBB47">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资金来源</w:t>
            </w:r>
          </w:p>
        </w:tc>
        <w:tc>
          <w:tcPr>
            <w:tcW w:w="5581" w:type="dxa"/>
            <w:vAlign w:val="center"/>
          </w:tcPr>
          <w:p w14:paraId="055BBAF2">
            <w:pPr>
              <w:keepLines/>
              <w:widowControl/>
              <w:spacing w:line="360" w:lineRule="exact"/>
              <w:ind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自筹</w:t>
            </w:r>
          </w:p>
        </w:tc>
      </w:tr>
      <w:tr w14:paraId="2F1E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B46ED0A">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w:t>
            </w:r>
          </w:p>
        </w:tc>
        <w:tc>
          <w:tcPr>
            <w:tcW w:w="2269" w:type="dxa"/>
            <w:vAlign w:val="center"/>
          </w:tcPr>
          <w:p w14:paraId="76434105">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出资比例</w:t>
            </w:r>
          </w:p>
        </w:tc>
        <w:tc>
          <w:tcPr>
            <w:tcW w:w="5581" w:type="dxa"/>
            <w:vAlign w:val="center"/>
          </w:tcPr>
          <w:p w14:paraId="119CEEEB">
            <w:pPr>
              <w:keepLines/>
              <w:widowControl/>
              <w:spacing w:line="360" w:lineRule="exact"/>
              <w:ind w:firstLine="0" w:firstLineChars="0"/>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100%</w:t>
            </w:r>
          </w:p>
        </w:tc>
      </w:tr>
      <w:tr w14:paraId="2C9B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967AFE2">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w:t>
            </w:r>
          </w:p>
        </w:tc>
        <w:tc>
          <w:tcPr>
            <w:tcW w:w="2269" w:type="dxa"/>
            <w:vAlign w:val="center"/>
          </w:tcPr>
          <w:p w14:paraId="01D20C9E">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资金落实情况</w:t>
            </w:r>
          </w:p>
        </w:tc>
        <w:tc>
          <w:tcPr>
            <w:tcW w:w="5581" w:type="dxa"/>
            <w:vAlign w:val="center"/>
          </w:tcPr>
          <w:p w14:paraId="4560C690">
            <w:pPr>
              <w:keepLines/>
              <w:widowControl/>
              <w:spacing w:line="360" w:lineRule="exact"/>
              <w:ind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已落实</w:t>
            </w:r>
          </w:p>
        </w:tc>
      </w:tr>
      <w:tr w14:paraId="42BD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CCAFF78">
            <w:pPr>
              <w:keepLines/>
              <w:widowControl/>
              <w:spacing w:line="360" w:lineRule="exact"/>
              <w:ind w:firstLine="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.2.4</w:t>
            </w:r>
          </w:p>
        </w:tc>
        <w:tc>
          <w:tcPr>
            <w:tcW w:w="2269" w:type="dxa"/>
            <w:vAlign w:val="center"/>
          </w:tcPr>
          <w:p w14:paraId="4C1E906E">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工程款支付方式</w:t>
            </w:r>
          </w:p>
        </w:tc>
        <w:tc>
          <w:tcPr>
            <w:tcW w:w="5581" w:type="dxa"/>
            <w:vAlign w:val="center"/>
          </w:tcPr>
          <w:p w14:paraId="63763E9D">
            <w:pPr>
              <w:keepLines/>
              <w:widowControl/>
              <w:spacing w:line="360" w:lineRule="exact"/>
              <w:ind w:firstLine="0" w:firstLineChars="0"/>
              <w:rPr>
                <w:rFonts w:hint="default"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详见第四章合同条款</w:t>
            </w:r>
          </w:p>
        </w:tc>
      </w:tr>
      <w:tr w14:paraId="4E8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212" w:type="dxa"/>
            <w:vAlign w:val="center"/>
          </w:tcPr>
          <w:p w14:paraId="24C6D06C">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w:t>
            </w:r>
          </w:p>
        </w:tc>
        <w:tc>
          <w:tcPr>
            <w:tcW w:w="2269" w:type="dxa"/>
            <w:vAlign w:val="center"/>
          </w:tcPr>
          <w:p w14:paraId="7147F52B">
            <w:pPr>
              <w:keepLines/>
              <w:widowControl/>
              <w:spacing w:line="36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范围</w:t>
            </w:r>
          </w:p>
        </w:tc>
        <w:tc>
          <w:tcPr>
            <w:tcW w:w="5581" w:type="dxa"/>
            <w:vAlign w:val="center"/>
          </w:tcPr>
          <w:p w14:paraId="06138D79">
            <w:pPr>
              <w:keepLines/>
              <w:widowControl/>
              <w:spacing w:line="360" w:lineRule="exact"/>
              <w:ind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长华化学新建二氧化碳聚醚及高性能多元醇项目雨水监控池、事故水池钢板及机械租赁，</w:t>
            </w:r>
            <w:r>
              <w:rPr>
                <w:rFonts w:hint="eastAsia" w:ascii="宋体" w:hAnsi="宋体"/>
                <w:color w:val="000000" w:themeColor="text1"/>
                <w:szCs w:val="21"/>
                <w:highlight w:val="none"/>
                <w:lang w:val="en-US" w:eastAsia="zh-CN"/>
                <w14:textFill>
                  <w14:solidFill>
                    <w14:schemeClr w14:val="tx1"/>
                  </w14:solidFill>
                </w14:textFill>
              </w:rPr>
              <w:t>具体详见控制价清单及图纸</w:t>
            </w:r>
          </w:p>
        </w:tc>
      </w:tr>
      <w:tr w14:paraId="7C95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9FF2722">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6AB806DE">
            <w:pPr>
              <w:keepLines/>
              <w:widowControl/>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计划工期</w:t>
            </w:r>
          </w:p>
        </w:tc>
        <w:tc>
          <w:tcPr>
            <w:tcW w:w="5581" w:type="dxa"/>
            <w:tcBorders>
              <w:top w:val="single" w:color="auto" w:sz="4" w:space="0"/>
              <w:left w:val="single" w:color="auto" w:sz="4" w:space="0"/>
              <w:bottom w:val="single" w:color="auto" w:sz="4" w:space="0"/>
              <w:right w:val="single" w:color="auto" w:sz="4" w:space="0"/>
            </w:tcBorders>
            <w:vAlign w:val="center"/>
          </w:tcPr>
          <w:p w14:paraId="0D306698">
            <w:pPr>
              <w:keepLines/>
              <w:widowControl/>
              <w:spacing w:line="360" w:lineRule="exact"/>
              <w:ind w:firstLine="0" w:firstLineChars="0"/>
              <w:rPr>
                <w:rFonts w:hint="default" w:eastAsiaTheme="minorEastAsia"/>
                <w:color w:val="000000" w:themeColor="text1"/>
                <w:kern w:val="0"/>
                <w:szCs w:val="21"/>
                <w:highlight w:val="none"/>
                <w:lang w:val="en-US" w:eastAsia="zh-CN"/>
                <w14:textFill>
                  <w14:solidFill>
                    <w14:schemeClr w14:val="tx1"/>
                  </w14:solidFill>
                </w14:textFill>
              </w:rPr>
            </w:pPr>
            <w:r>
              <w:rPr>
                <w:rFonts w:hint="eastAsia" w:eastAsiaTheme="minorEastAsia"/>
                <w:b/>
                <w:bCs/>
                <w:color w:val="000000" w:themeColor="text1"/>
                <w:kern w:val="0"/>
                <w:szCs w:val="21"/>
                <w:highlight w:val="none"/>
                <w:lang w:val="en-US" w:eastAsia="zh-CN"/>
                <w14:textFill>
                  <w14:solidFill>
                    <w14:schemeClr w14:val="tx1"/>
                  </w14:solidFill>
                </w14:textFill>
              </w:rPr>
              <w:t>20日历天</w:t>
            </w:r>
          </w:p>
        </w:tc>
      </w:tr>
      <w:tr w14:paraId="470E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D7A12EC">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3653ECC0">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510C8AB4">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b/>
                <w:bCs/>
                <w:color w:val="000000" w:themeColor="text1"/>
                <w:szCs w:val="21"/>
                <w:highlight w:val="none"/>
                <w:lang w:val="en-US" w:eastAsia="zh-CN"/>
                <w14:textFill>
                  <w14:solidFill>
                    <w14:schemeClr w14:val="tx1"/>
                  </w14:solidFill>
                </w14:textFill>
              </w:rPr>
              <w:t>符合法律法规规定的以及采购人确定的合格标准</w:t>
            </w:r>
          </w:p>
        </w:tc>
      </w:tr>
      <w:tr w14:paraId="03AF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3FD59CA">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3BAA1761">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供应商</w:t>
            </w:r>
            <w:r>
              <w:rPr>
                <w:rFonts w:hAnsiTheme="minorEastAsia" w:eastAsiaTheme="minorEastAsia"/>
                <w:color w:val="000000" w:themeColor="text1"/>
                <w:szCs w:val="21"/>
                <w:highlight w:val="none"/>
                <w14:textFill>
                  <w14:solidFill>
                    <w14:schemeClr w14:val="tx1"/>
                  </w14:solidFill>
                </w14:textFill>
              </w:rPr>
              <w:t>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4319AA06">
            <w:pPr>
              <w:keepLines/>
              <w:widowControl/>
              <w:adjustRightInd w:val="0"/>
              <w:snapToGrid w:val="0"/>
              <w:spacing w:line="360" w:lineRule="exact"/>
              <w:ind w:firstLine="0" w:firstLineChars="0"/>
              <w:rPr>
                <w:rFonts w:hint="default" w:eastAsiaTheme="minorEastAsia"/>
                <w:color w:val="000000" w:themeColor="text1"/>
                <w:szCs w:val="21"/>
                <w:highlight w:val="none"/>
                <w:lang w:val="en-US" w:eastAsia="zh-CN"/>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详见</w:t>
            </w:r>
            <w:r>
              <w:rPr>
                <w:rFonts w:hint="eastAsia" w:hAnsiTheme="minorEastAsia" w:eastAsiaTheme="minorEastAsia"/>
                <w:color w:val="000000" w:themeColor="text1"/>
                <w:szCs w:val="21"/>
                <w:highlight w:val="none"/>
                <w:lang w:val="en-US" w:eastAsia="zh-CN"/>
                <w14:textFill>
                  <w14:solidFill>
                    <w14:schemeClr w14:val="tx1"/>
                  </w14:solidFill>
                </w14:textFill>
              </w:rPr>
              <w:t>邀请竞争性谈判公告</w:t>
            </w:r>
          </w:p>
        </w:tc>
      </w:tr>
      <w:tr w14:paraId="4CB6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BC40EA7">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55A0731D">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019BC2C2">
            <w:pPr>
              <w:keepLines/>
              <w:widowControl/>
              <w:adjustRightInd w:val="0"/>
              <w:snapToGrid w:val="0"/>
              <w:spacing w:line="360" w:lineRule="exact"/>
              <w:ind w:firstLine="0" w:firstLineChars="0"/>
              <w:rPr>
                <w:rFonts w:hint="default" w:eastAsiaTheme="minorEastAsia"/>
                <w:color w:val="000000" w:themeColor="text1"/>
                <w:szCs w:val="21"/>
                <w:highlight w:val="none"/>
                <w:lang w:val="en-US" w:eastAsia="zh-CN"/>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详见</w:t>
            </w:r>
            <w:r>
              <w:rPr>
                <w:rFonts w:hint="eastAsia" w:hAnsiTheme="minorEastAsia" w:eastAsiaTheme="minorEastAsia"/>
                <w:color w:val="000000" w:themeColor="text1"/>
                <w:szCs w:val="21"/>
                <w:highlight w:val="none"/>
                <w:lang w:val="en-US" w:eastAsia="zh-CN"/>
                <w14:textFill>
                  <w14:solidFill>
                    <w14:schemeClr w14:val="tx1"/>
                  </w14:solidFill>
                </w14:textFill>
              </w:rPr>
              <w:t>邀请竞争性谈判公告</w:t>
            </w:r>
          </w:p>
        </w:tc>
      </w:tr>
      <w:tr w14:paraId="49AA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0318E16">
            <w:pPr>
              <w:keepLines/>
              <w:widowControl/>
              <w:adjustRightInd w:val="0"/>
              <w:snapToGrid w:val="0"/>
              <w:spacing w:line="360" w:lineRule="exact"/>
              <w:ind w:firstLine="0" w:firstLineChars="0"/>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72AC95D3">
            <w:pPr>
              <w:keepLines/>
              <w:widowControl/>
              <w:adjustRightInd w:val="0"/>
              <w:snapToGrid w:val="0"/>
              <w:spacing w:line="360" w:lineRule="exact"/>
              <w:ind w:firstLine="0" w:firstLineChars="0"/>
              <w:rPr>
                <w:rFonts w:eastAsiaTheme="minorEastAsia"/>
                <w:b/>
                <w:bCs/>
                <w:color w:val="000000" w:themeColor="text1"/>
                <w:szCs w:val="21"/>
                <w:highlight w:val="none"/>
                <w14:textFill>
                  <w14:solidFill>
                    <w14:schemeClr w14:val="tx1"/>
                  </w14:solidFill>
                </w14:textFill>
              </w:rPr>
            </w:pPr>
            <w:r>
              <w:rPr>
                <w:rFonts w:hAnsiTheme="minorEastAsia" w:eastAsiaTheme="minorEastAsia"/>
                <w:b/>
                <w:bCs/>
                <w:color w:val="000000" w:themeColor="text1"/>
                <w:szCs w:val="21"/>
                <w:highlight w:val="none"/>
                <w14:textFill>
                  <w14:solidFill>
                    <w14:schemeClr w14:val="tx1"/>
                  </w14:solidFill>
                </w14:textFill>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0D6D471E">
            <w:pPr>
              <w:keepLines/>
              <w:widowControl/>
              <w:adjustRightInd w:val="0"/>
              <w:snapToGrid w:val="0"/>
              <w:spacing w:line="360" w:lineRule="exact"/>
              <w:ind w:firstLine="0" w:firstLineChars="0"/>
              <w:rPr>
                <w:rFonts w:hint="default" w:eastAsiaTheme="minorEastAsia"/>
                <w:b/>
                <w:bCs/>
                <w:color w:val="000000" w:themeColor="text1"/>
                <w:szCs w:val="21"/>
                <w:highlight w:val="none"/>
                <w:lang w:val="en-US" w:eastAsia="zh-CN"/>
                <w14:textFill>
                  <w14:solidFill>
                    <w14:schemeClr w14:val="tx1"/>
                  </w14:solidFill>
                </w14:textFill>
              </w:rPr>
            </w:pPr>
            <w:r>
              <w:rPr>
                <w:rFonts w:hint="eastAsia" w:hAnsiTheme="minorEastAsia" w:eastAsiaTheme="minorEastAsia"/>
                <w:b/>
                <w:bCs/>
                <w:color w:val="000000" w:themeColor="text1"/>
                <w:szCs w:val="21"/>
                <w:highlight w:val="none"/>
                <w14:textFill>
                  <w14:solidFill>
                    <w14:schemeClr w14:val="tx1"/>
                  </w14:solidFill>
                </w14:textFill>
              </w:rPr>
              <w:t>供应商</w:t>
            </w:r>
            <w:r>
              <w:rPr>
                <w:rFonts w:hint="eastAsia" w:hAnsiTheme="minorEastAsia" w:eastAsiaTheme="minorEastAsia"/>
                <w:b/>
                <w:bCs/>
                <w:color w:val="000000" w:themeColor="text1"/>
                <w:szCs w:val="21"/>
                <w:highlight w:val="none"/>
                <w:lang w:val="en-US" w:eastAsia="zh-CN"/>
                <w14:textFill>
                  <w14:solidFill>
                    <w14:schemeClr w14:val="tx1"/>
                  </w14:solidFill>
                </w14:textFill>
              </w:rPr>
              <w:t>在开标前可</w:t>
            </w:r>
            <w:r>
              <w:rPr>
                <w:rFonts w:hAnsiTheme="minorEastAsia" w:eastAsiaTheme="minorEastAsia"/>
                <w:b/>
                <w:bCs/>
                <w:color w:val="000000" w:themeColor="text1"/>
                <w:szCs w:val="21"/>
                <w:highlight w:val="none"/>
                <w14:textFill>
                  <w14:solidFill>
                    <w14:schemeClr w14:val="tx1"/>
                  </w14:solidFill>
                </w14:textFill>
              </w:rPr>
              <w:t>自行踏勘</w:t>
            </w:r>
            <w:r>
              <w:rPr>
                <w:rFonts w:hint="eastAsia" w:hAnsiTheme="minorEastAsia" w:eastAsiaTheme="minorEastAsia"/>
                <w:b/>
                <w:bCs/>
                <w:color w:val="000000" w:themeColor="text1"/>
                <w:szCs w:val="21"/>
                <w:highlight w:val="none"/>
                <w:lang w:eastAsia="zh-CN"/>
                <w14:textFill>
                  <w14:solidFill>
                    <w14:schemeClr w14:val="tx1"/>
                  </w14:solidFill>
                </w14:textFill>
              </w:rPr>
              <w:t>，</w:t>
            </w:r>
            <w:r>
              <w:rPr>
                <w:rFonts w:hint="eastAsia" w:hAnsiTheme="minorEastAsia" w:eastAsiaTheme="minorEastAsia"/>
                <w:b/>
                <w:bCs/>
                <w:color w:val="000000" w:themeColor="text1"/>
                <w:szCs w:val="21"/>
                <w:highlight w:val="none"/>
                <w:lang w:val="en-US" w:eastAsia="zh-CN"/>
                <w14:textFill>
                  <w14:solidFill>
                    <w14:schemeClr w14:val="tx1"/>
                  </w14:solidFill>
                </w14:textFill>
              </w:rPr>
              <w:t>现场勘察联系人：周工177-6899-3676</w:t>
            </w:r>
          </w:p>
        </w:tc>
      </w:tr>
      <w:tr w14:paraId="2535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BE63EE9">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4B93A277">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5B372DA9">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w:t>
            </w:r>
            <w:r>
              <w:rPr>
                <w:rFonts w:hint="eastAsia" w:hAnsiTheme="minorEastAsia" w:eastAsiaTheme="minorEastAsia"/>
                <w:color w:val="000000" w:themeColor="text1"/>
                <w:szCs w:val="21"/>
                <w:highlight w:val="none"/>
                <w14:textFill>
                  <w14:solidFill>
                    <w14:schemeClr w14:val="tx1"/>
                  </w14:solidFill>
                </w14:textFill>
              </w:rPr>
              <w:t>需经采购人书面同意</w:t>
            </w:r>
          </w:p>
        </w:tc>
      </w:tr>
      <w:tr w14:paraId="48E4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819C8B7">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2.1.1</w:t>
            </w:r>
            <w:r>
              <w:rPr>
                <w:rFonts w:hAnsiTheme="minorEastAsia"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14:textFill>
                  <w14:solidFill>
                    <w14:schemeClr w14:val="tx1"/>
                  </w14:solidFill>
                </w14:textFill>
              </w:rPr>
              <w:t>7</w:t>
            </w:r>
            <w:r>
              <w:rPr>
                <w:rFonts w:hAnsiTheme="minorEastAsia" w:eastAsiaTheme="minorEastAsia"/>
                <w:color w:val="000000" w:themeColor="text1"/>
                <w:szCs w:val="21"/>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vAlign w:val="center"/>
          </w:tcPr>
          <w:p w14:paraId="5748C754">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61A88639">
            <w:pPr>
              <w:keepLines/>
              <w:widowControl/>
              <w:tabs>
                <w:tab w:val="left" w:pos="826"/>
              </w:tabs>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图纸、澄清、修改</w:t>
            </w:r>
          </w:p>
        </w:tc>
      </w:tr>
      <w:tr w14:paraId="2BF7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EB315F9">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53A6C2B0">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供应商</w:t>
            </w:r>
            <w:r>
              <w:rPr>
                <w:rFonts w:hAnsiTheme="minorEastAsia" w:eastAsiaTheme="minorEastAsia"/>
                <w:color w:val="000000" w:themeColor="text1"/>
                <w:szCs w:val="21"/>
                <w:highlight w:val="none"/>
                <w14:textFill>
                  <w14:solidFill>
                    <w14:schemeClr w14:val="tx1"/>
                  </w14:solidFill>
                </w14:textFill>
              </w:rPr>
              <w:t>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5BC7BF3C">
            <w:pPr>
              <w:keepLines/>
              <w:widowControl/>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响应文件递交</w:t>
            </w:r>
            <w:r>
              <w:rPr>
                <w:rFonts w:hAnsiTheme="minorEastAsia" w:eastAsiaTheme="minorEastAsia"/>
                <w:color w:val="000000" w:themeColor="text1"/>
                <w:szCs w:val="21"/>
                <w:highlight w:val="none"/>
                <w14:textFill>
                  <w14:solidFill>
                    <w14:schemeClr w14:val="tx1"/>
                  </w14:solidFill>
                </w14:textFill>
              </w:rPr>
              <w:t>截止时间</w:t>
            </w:r>
            <w:r>
              <w:rPr>
                <w:rFonts w:hint="eastAsia" w:eastAsiaTheme="minorEastAsia"/>
                <w:color w:val="000000" w:themeColor="text1"/>
                <w:szCs w:val="21"/>
                <w:highlight w:val="none"/>
                <w:lang w:val="en-US" w:eastAsia="zh-CN"/>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日前</w:t>
            </w:r>
          </w:p>
        </w:tc>
      </w:tr>
      <w:tr w14:paraId="00C2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518E800">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791AFDA6">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090E907A">
            <w:pPr>
              <w:keepLines/>
              <w:widowControl/>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响应文件递交</w:t>
            </w:r>
            <w:r>
              <w:rPr>
                <w:rFonts w:hAnsiTheme="minorEastAsia" w:eastAsiaTheme="minorEastAsia"/>
                <w:color w:val="000000" w:themeColor="text1"/>
                <w:szCs w:val="21"/>
                <w:highlight w:val="none"/>
                <w14:textFill>
                  <w14:solidFill>
                    <w14:schemeClr w14:val="tx1"/>
                  </w14:solidFill>
                </w14:textFill>
              </w:rPr>
              <w:t>截止时间</w:t>
            </w:r>
            <w:r>
              <w:rPr>
                <w:rFonts w:hint="eastAsia" w:eastAsiaTheme="minorEastAsia"/>
                <w:color w:val="000000" w:themeColor="text1"/>
                <w:szCs w:val="21"/>
                <w:highlight w:val="none"/>
                <w:lang w:val="en-US" w:eastAsia="zh-CN"/>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日前</w:t>
            </w:r>
          </w:p>
        </w:tc>
      </w:tr>
      <w:tr w14:paraId="70C4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6A04FBA">
            <w:pPr>
              <w:keepLines/>
              <w:widowControl/>
              <w:adjustRightInd w:val="0"/>
              <w:snapToGrid w:val="0"/>
              <w:spacing w:line="360" w:lineRule="exact"/>
              <w:ind w:firstLine="0" w:firstLineChars="0"/>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2.4</w:t>
            </w:r>
          </w:p>
        </w:tc>
        <w:tc>
          <w:tcPr>
            <w:tcW w:w="2269" w:type="dxa"/>
            <w:tcBorders>
              <w:top w:val="single" w:color="auto" w:sz="4" w:space="0"/>
              <w:left w:val="single" w:color="auto" w:sz="4" w:space="0"/>
              <w:bottom w:val="single" w:color="auto" w:sz="4" w:space="0"/>
              <w:right w:val="single" w:color="auto" w:sz="4" w:space="0"/>
            </w:tcBorders>
            <w:vAlign w:val="center"/>
          </w:tcPr>
          <w:p w14:paraId="1F55DA7A">
            <w:pPr>
              <w:keepLines/>
              <w:widowControl/>
              <w:adjustRightInd w:val="0"/>
              <w:snapToGrid w:val="0"/>
              <w:spacing w:line="360" w:lineRule="exact"/>
              <w:ind w:firstLine="0" w:firstLineChars="0"/>
              <w:rPr>
                <w:rFonts w:eastAsiaTheme="minorEastAsia"/>
                <w:b/>
                <w:bCs/>
                <w:color w:val="000000" w:themeColor="text1"/>
                <w:szCs w:val="21"/>
                <w:highlight w:val="none"/>
                <w14:textFill>
                  <w14:solidFill>
                    <w14:schemeClr w14:val="tx1"/>
                  </w14:solidFill>
                </w14:textFill>
              </w:rPr>
            </w:pPr>
            <w:r>
              <w:rPr>
                <w:rFonts w:hint="eastAsia" w:hAnsiTheme="minorEastAsia" w:eastAsiaTheme="minorEastAsia"/>
                <w:b/>
                <w:bCs/>
                <w:color w:val="000000" w:themeColor="text1"/>
                <w:szCs w:val="21"/>
                <w:highlight w:val="none"/>
                <w14:textFill>
                  <w14:solidFill>
                    <w14:schemeClr w14:val="tx1"/>
                  </w14:solidFill>
                </w14:textFill>
              </w:rPr>
              <w:t>采购</w:t>
            </w:r>
            <w:r>
              <w:rPr>
                <w:rFonts w:hAnsiTheme="minorEastAsia" w:eastAsiaTheme="minorEastAsia"/>
                <w:b/>
                <w:bCs/>
                <w:color w:val="000000" w:themeColor="text1"/>
                <w:szCs w:val="21"/>
                <w:highlight w:val="none"/>
                <w14:textFill>
                  <w14:solidFill>
                    <w14:schemeClr w14:val="tx1"/>
                  </w14:solidFill>
                </w14:textFill>
              </w:rPr>
              <w:t>控制价</w:t>
            </w:r>
          </w:p>
        </w:tc>
        <w:tc>
          <w:tcPr>
            <w:tcW w:w="5581" w:type="dxa"/>
            <w:tcBorders>
              <w:top w:val="single" w:color="auto" w:sz="4" w:space="0"/>
              <w:left w:val="single" w:color="auto" w:sz="4" w:space="0"/>
              <w:bottom w:val="single" w:color="auto" w:sz="4" w:space="0"/>
              <w:right w:val="single" w:color="auto" w:sz="4" w:space="0"/>
            </w:tcBorders>
            <w:vAlign w:val="center"/>
          </w:tcPr>
          <w:p w14:paraId="130A71EA">
            <w:pPr>
              <w:pStyle w:val="18"/>
              <w:spacing w:after="0" w:line="360" w:lineRule="exact"/>
              <w:ind w:left="0" w:leftChars="0" w:firstLine="0" w:firstLineChars="0"/>
              <w:jc w:val="left"/>
              <w:rPr>
                <w:rFonts w:hint="eastAsia" w:ascii="Times New Roman" w:cs="Times New Roman" w:hAnsiTheme="minorEastAsia" w:eastAsiaTheme="minorEastAsia"/>
                <w:b/>
                <w:bCs/>
                <w:color w:val="000000" w:themeColor="text1"/>
                <w:szCs w:val="21"/>
                <w:highlight w:val="none"/>
                <w:lang w:val="en-US" w:eastAsia="zh-CN"/>
                <w14:textFill>
                  <w14:solidFill>
                    <w14:schemeClr w14:val="tx1"/>
                  </w14:solidFill>
                </w14:textFill>
              </w:rPr>
            </w:pPr>
            <w:r>
              <w:rPr>
                <w:rFonts w:hint="eastAsia" w:hAnsiTheme="minorEastAsia" w:eastAsiaTheme="minorEastAsia"/>
                <w:b/>
                <w:bCs/>
                <w:color w:val="000000" w:themeColor="text1"/>
                <w:szCs w:val="21"/>
                <w:highlight w:val="none"/>
                <w:u w:val="single"/>
                <w:lang w:val="en-US" w:eastAsia="zh-CN"/>
                <w14:textFill>
                  <w14:solidFill>
                    <w14:schemeClr w14:val="tx1"/>
                  </w14:solidFill>
                </w14:textFill>
              </w:rPr>
              <w:t xml:space="preserve"> </w:t>
            </w:r>
            <w:r>
              <w:rPr>
                <w:rFonts w:hint="eastAsia" w:eastAsiaTheme="minorEastAsia"/>
                <w:b/>
                <w:bCs/>
                <w:color w:val="000000" w:themeColor="text1"/>
                <w:szCs w:val="21"/>
                <w:highlight w:val="none"/>
                <w:u w:val="single"/>
                <w:lang w:val="en-US" w:eastAsia="zh-CN"/>
                <w14:textFill>
                  <w14:solidFill>
                    <w14:schemeClr w14:val="tx1"/>
                  </w14:solidFill>
                </w14:textFill>
              </w:rPr>
              <w:t xml:space="preserve">4067231.28 </w:t>
            </w:r>
            <w:r>
              <w:rPr>
                <w:rFonts w:hint="eastAsia" w:hAnsiTheme="minorEastAsia" w:eastAsiaTheme="minorEastAsia"/>
                <w:b/>
                <w:bCs/>
                <w:color w:val="000000" w:themeColor="text1"/>
                <w:szCs w:val="21"/>
                <w:highlight w:val="none"/>
                <w:u w:val="single"/>
                <w:lang w:val="en-US" w:eastAsia="zh-CN"/>
                <w14:textFill>
                  <w14:solidFill>
                    <w14:schemeClr w14:val="tx1"/>
                  </w14:solidFill>
                </w14:textFill>
              </w:rPr>
              <w:t xml:space="preserve"> </w:t>
            </w:r>
            <w:r>
              <w:rPr>
                <w:rFonts w:hint="eastAsia" w:hAnsiTheme="minorEastAsia" w:eastAsiaTheme="minorEastAsia"/>
                <w:b/>
                <w:bCs/>
                <w:color w:val="000000" w:themeColor="text1"/>
                <w:szCs w:val="21"/>
                <w:highlight w:val="none"/>
                <w:lang w:val="en-US" w:eastAsia="zh-CN"/>
                <w14:textFill>
                  <w14:solidFill>
                    <w14:schemeClr w14:val="tx1"/>
                  </w14:solidFill>
                </w14:textFill>
              </w:rPr>
              <w:t>元</w:t>
            </w:r>
            <w:r>
              <w:rPr>
                <w:rFonts w:hint="eastAsia" w:hAnsiTheme="minorEastAsia" w:eastAsiaTheme="minorEastAsia"/>
                <w:b/>
                <w:bCs/>
                <w:color w:val="000000" w:themeColor="text1"/>
                <w:szCs w:val="21"/>
                <w:highlight w:val="none"/>
                <w:lang w:eastAsia="zh-CN"/>
                <w14:textFill>
                  <w14:solidFill>
                    <w14:schemeClr w14:val="tx1"/>
                  </w14:solidFill>
                </w14:textFill>
              </w:rPr>
              <w:t>，</w:t>
            </w:r>
            <w:r>
              <w:rPr>
                <w:rFonts w:hint="eastAsia" w:hAnsiTheme="minorEastAsia" w:eastAsiaTheme="minorEastAsia"/>
                <w:b/>
                <w:bCs/>
                <w:color w:val="000000" w:themeColor="text1"/>
                <w:szCs w:val="21"/>
                <w:highlight w:val="none"/>
                <w:lang w:val="en-US" w:eastAsia="zh-CN"/>
                <w14:textFill>
                  <w14:solidFill>
                    <w14:schemeClr w14:val="tx1"/>
                  </w14:solidFill>
                </w14:textFill>
              </w:rPr>
              <w:t>控制价明细详见附件。</w:t>
            </w:r>
            <w:r>
              <w:rPr>
                <w:rFonts w:hint="eastAsia" w:hAnsiTheme="minorEastAsia" w:eastAsiaTheme="minorEastAsia"/>
                <w:b/>
                <w:bCs/>
                <w:color w:val="000000" w:themeColor="text1"/>
                <w:szCs w:val="21"/>
                <w:highlight w:val="none"/>
                <w:lang w:eastAsia="zh-CN"/>
                <w14:textFill>
                  <w14:solidFill>
                    <w14:schemeClr w14:val="tx1"/>
                  </w14:solidFill>
                </w14:textFill>
              </w:rPr>
              <w:t>谈判供应商在投标报价时，只需填报项目的下浮率，评委以该下浮率作为报价评审依据。合同签订时，执行该下浮率，合同单价按照采购人发布的招标控制价中的单价*（1-下浮率）。</w:t>
            </w:r>
          </w:p>
        </w:tc>
      </w:tr>
      <w:tr w14:paraId="4D27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F186CC6">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415D3489">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响应文件组成</w:t>
            </w:r>
          </w:p>
        </w:tc>
        <w:tc>
          <w:tcPr>
            <w:tcW w:w="5581" w:type="dxa"/>
            <w:tcBorders>
              <w:top w:val="single" w:color="auto" w:sz="4" w:space="0"/>
              <w:left w:val="single" w:color="auto" w:sz="4" w:space="0"/>
              <w:bottom w:val="single" w:color="auto" w:sz="4" w:space="0"/>
              <w:right w:val="single" w:color="auto" w:sz="4" w:space="0"/>
            </w:tcBorders>
          </w:tcPr>
          <w:p w14:paraId="17928A53">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目录及索引表（自行编制）</w:t>
            </w:r>
          </w:p>
          <w:p w14:paraId="7AF4FC65">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1.响应函（附报价单）</w:t>
            </w:r>
          </w:p>
          <w:p w14:paraId="5A45542F">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2.法定代表人身份证明</w:t>
            </w:r>
          </w:p>
          <w:p w14:paraId="2CB0E1D8">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3.授权委托书</w:t>
            </w:r>
          </w:p>
          <w:p w14:paraId="06822C73">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4.供应商承诺书</w:t>
            </w:r>
          </w:p>
          <w:p w14:paraId="6D37A86C">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5.联合体谈判协议书（如允许联合体参与谈判时提供）</w:t>
            </w:r>
          </w:p>
          <w:p w14:paraId="35AD59EF">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6.供应商基本情况表</w:t>
            </w:r>
          </w:p>
          <w:p w14:paraId="7908EE16">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6.1企业营业执照</w:t>
            </w:r>
          </w:p>
          <w:p w14:paraId="6AA2C8A9">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6.2企业资质证书（如要求）</w:t>
            </w:r>
          </w:p>
          <w:p w14:paraId="3114A613">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6.3安全生产许可证（如要求）</w:t>
            </w:r>
          </w:p>
          <w:p w14:paraId="2CBB2106">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6.4企业开户许可证（或基本帐户信息，如要求）</w:t>
            </w:r>
          </w:p>
          <w:p w14:paraId="0F53A91C">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7.项目负责人简历表</w:t>
            </w:r>
          </w:p>
          <w:p w14:paraId="5D85CFF5">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7.1项目负责人注册证书或职称证书（如要求）</w:t>
            </w:r>
          </w:p>
          <w:p w14:paraId="159FC742">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7.2项目负责人社保缴纳证明（如要求）</w:t>
            </w:r>
          </w:p>
          <w:p w14:paraId="2D6AE884">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8.资格审查资料</w:t>
            </w:r>
          </w:p>
          <w:p w14:paraId="7422CF79">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9.已标价的工程量清单（如要求提供）</w:t>
            </w:r>
          </w:p>
          <w:p w14:paraId="7A76A7F5">
            <w:pPr>
              <w:keepLines/>
              <w:widowControl/>
              <w:spacing w:line="360" w:lineRule="exact"/>
              <w:ind w:firstLine="0" w:firstLineChars="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10.其他材料（如谈判保证金缴纳凭证等）</w:t>
            </w:r>
          </w:p>
          <w:p w14:paraId="17D36D90">
            <w:pPr>
              <w:keepLines/>
              <w:widowControl/>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★以上内容根据谈判文件要求提供并按顺序装订。</w:t>
            </w:r>
          </w:p>
        </w:tc>
      </w:tr>
      <w:tr w14:paraId="1F86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3A5E4DB">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14:textFill>
                  <w14:solidFill>
                    <w14:schemeClr w14:val="tx1"/>
                  </w14:solidFill>
                </w14:textFill>
              </w:rPr>
              <w:t>2</w:t>
            </w:r>
            <w:r>
              <w:rPr>
                <w:rFonts w:eastAsiaTheme="minorEastAsia"/>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5F1468D5">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6153492E">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sym w:font="Wingdings" w:char="00FE"/>
            </w:r>
            <w:r>
              <w:rPr>
                <w:rFonts w:hAnsiTheme="minorEastAsia" w:eastAsiaTheme="minorEastAsia"/>
                <w:color w:val="000000" w:themeColor="text1"/>
                <w:szCs w:val="21"/>
                <w:highlight w:val="none"/>
                <w14:textFill>
                  <w14:solidFill>
                    <w14:schemeClr w14:val="tx1"/>
                  </w14:solidFill>
                </w14:textFill>
              </w:rPr>
              <w:t>单价合同</w:t>
            </w:r>
          </w:p>
          <w:p w14:paraId="31BAFB7B">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sym w:font="Wingdings" w:char="00A8"/>
            </w:r>
            <w:r>
              <w:rPr>
                <w:rFonts w:hAnsiTheme="minorEastAsia" w:eastAsiaTheme="minorEastAsia"/>
                <w:color w:val="000000" w:themeColor="text1"/>
                <w:szCs w:val="21"/>
                <w:highlight w:val="none"/>
                <w14:textFill>
                  <w14:solidFill>
                    <w14:schemeClr w14:val="tx1"/>
                  </w14:solidFill>
                </w14:textFill>
              </w:rPr>
              <w:t>总价合同</w:t>
            </w:r>
          </w:p>
        </w:tc>
      </w:tr>
      <w:tr w14:paraId="511B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0E90EE">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14:textFill>
                  <w14:solidFill>
                    <w14:schemeClr w14:val="tx1"/>
                  </w14:solidFill>
                </w14:textFill>
              </w:rPr>
              <w:t>3</w:t>
            </w:r>
            <w:r>
              <w:rPr>
                <w:rFonts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0B9EAC45">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有效期</w:t>
            </w:r>
          </w:p>
        </w:tc>
        <w:tc>
          <w:tcPr>
            <w:tcW w:w="5581" w:type="dxa"/>
            <w:tcBorders>
              <w:top w:val="single" w:color="auto" w:sz="4" w:space="0"/>
              <w:left w:val="single" w:color="auto" w:sz="4" w:space="0"/>
              <w:bottom w:val="single" w:color="auto" w:sz="4" w:space="0"/>
              <w:right w:val="single" w:color="auto" w:sz="4" w:space="0"/>
            </w:tcBorders>
            <w:vAlign w:val="center"/>
          </w:tcPr>
          <w:p w14:paraId="305AAE85">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w:t>
            </w:r>
            <w:r>
              <w:rPr>
                <w:rFonts w:hAnsiTheme="minorEastAsia" w:eastAsiaTheme="minorEastAsia"/>
                <w:color w:val="000000" w:themeColor="text1"/>
                <w:szCs w:val="21"/>
                <w:highlight w:val="none"/>
                <w14:textFill>
                  <w14:solidFill>
                    <w14:schemeClr w14:val="tx1"/>
                  </w14:solidFill>
                </w14:textFill>
              </w:rPr>
              <w:t>文件递交截止日后</w:t>
            </w:r>
            <w:r>
              <w:rPr>
                <w:rFonts w:hint="eastAsia" w:eastAsiaTheme="minorEastAsia"/>
                <w:color w:val="000000" w:themeColor="text1"/>
                <w:szCs w:val="21"/>
                <w:highlight w:val="none"/>
                <w:u w:val="single"/>
                <w14:textFill>
                  <w14:solidFill>
                    <w14:schemeClr w14:val="tx1"/>
                  </w14:solidFill>
                </w14:textFill>
              </w:rPr>
              <w:t xml:space="preserve"> </w:t>
            </w:r>
            <w:r>
              <w:rPr>
                <w:rFonts w:hint="eastAsia" w:eastAsiaTheme="minorEastAsia"/>
                <w:color w:val="000000" w:themeColor="text1"/>
                <w:szCs w:val="21"/>
                <w:highlight w:val="none"/>
                <w:u w:val="single"/>
                <w:lang w:val="en-US" w:eastAsia="zh-CN"/>
                <w14:textFill>
                  <w14:solidFill>
                    <w14:schemeClr w14:val="tx1"/>
                  </w14:solidFill>
                </w14:textFill>
              </w:rPr>
              <w:t>90</w:t>
            </w:r>
            <w:r>
              <w:rPr>
                <w:rFonts w:hint="eastAsia" w:eastAsiaTheme="minorEastAsia"/>
                <w:color w:val="000000" w:themeColor="text1"/>
                <w:szCs w:val="21"/>
                <w:highlight w:val="none"/>
                <w:u w:val="single"/>
                <w14:textFill>
                  <w14:solidFill>
                    <w14:schemeClr w14:val="tx1"/>
                  </w14:solidFill>
                </w14:textFill>
              </w:rPr>
              <w:t xml:space="preserve"> </w:t>
            </w:r>
            <w:r>
              <w:rPr>
                <w:rFonts w:hAnsiTheme="minorEastAsia" w:eastAsiaTheme="minorEastAsia"/>
                <w:color w:val="000000" w:themeColor="text1"/>
                <w:szCs w:val="21"/>
                <w:highlight w:val="none"/>
                <w14:textFill>
                  <w14:solidFill>
                    <w14:schemeClr w14:val="tx1"/>
                  </w14:solidFill>
                </w14:textFill>
              </w:rPr>
              <w:t>日历天</w:t>
            </w:r>
          </w:p>
        </w:tc>
      </w:tr>
      <w:tr w14:paraId="6396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4D9D7AB5">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008AA383">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保证金</w:t>
            </w:r>
          </w:p>
        </w:tc>
        <w:tc>
          <w:tcPr>
            <w:tcW w:w="5581" w:type="dxa"/>
            <w:tcBorders>
              <w:top w:val="single" w:color="auto" w:sz="4" w:space="0"/>
              <w:left w:val="single" w:color="auto" w:sz="4" w:space="0"/>
              <w:bottom w:val="single" w:color="auto" w:sz="4" w:space="0"/>
              <w:right w:val="single" w:color="auto" w:sz="4" w:space="0"/>
            </w:tcBorders>
            <w:vAlign w:val="top"/>
          </w:tcPr>
          <w:p w14:paraId="39A96A49">
            <w:pPr>
              <w:keepNext w:val="0"/>
              <w:keepLines/>
              <w:pageBreakBefore w:val="0"/>
              <w:widowControl/>
              <w:numPr>
                <w:ilvl w:val="0"/>
                <w:numId w:val="0"/>
              </w:numPr>
              <w:kinsoku/>
              <w:wordWrap/>
              <w:overflowPunct/>
              <w:topLinePunct w:val="0"/>
              <w:autoSpaceDE/>
              <w:autoSpaceDN/>
              <w:bidi w:val="0"/>
              <w:adjustRightInd/>
              <w:snapToGrid w:val="0"/>
              <w:spacing w:line="360" w:lineRule="exact"/>
              <w:ind w:firstLine="0" w:firstLineChars="0"/>
              <w:jc w:val="left"/>
              <w:textAlignment w:val="auto"/>
              <w:rPr>
                <w:rFonts w:hint="eastAsia"/>
                <w:highlight w:val="none"/>
              </w:rPr>
            </w:pPr>
            <w:r>
              <w:rPr>
                <w:rFonts w:hint="eastAsia" w:ascii="Times New Roman" w:hAnsi="Times New Roman" w:eastAsia="宋体" w:cs="Times New Roman"/>
                <w:kern w:val="2"/>
                <w:sz w:val="21"/>
                <w:szCs w:val="24"/>
                <w:highlight w:val="none"/>
                <w:lang w:val="en-US" w:eastAsia="zh-CN" w:bidi="ar-SA"/>
              </w:rPr>
              <w:t>一、</w:t>
            </w:r>
            <w:r>
              <w:rPr>
                <w:rFonts w:hint="eastAsia"/>
                <w:highlight w:val="none"/>
              </w:rPr>
              <w:t>谈判保证金的形式：</w:t>
            </w:r>
            <w:r>
              <w:rPr>
                <w:rFonts w:hint="eastAsia"/>
                <w:b/>
                <w:bCs/>
                <w:highlight w:val="none"/>
              </w:rPr>
              <w:t>转账、电汇、网银</w:t>
            </w:r>
          </w:p>
          <w:p w14:paraId="06BBAEA5">
            <w:pPr>
              <w:keepNext w:val="0"/>
              <w:keepLines/>
              <w:pageBreakBefore w:val="0"/>
              <w:widowControl/>
              <w:numPr>
                <w:ilvl w:val="0"/>
                <w:numId w:val="0"/>
              </w:numPr>
              <w:kinsoku/>
              <w:wordWrap/>
              <w:overflowPunct/>
              <w:topLinePunct w:val="0"/>
              <w:autoSpaceDE/>
              <w:autoSpaceDN/>
              <w:bidi w:val="0"/>
              <w:adjustRightInd/>
              <w:snapToGrid w:val="0"/>
              <w:spacing w:line="360" w:lineRule="exact"/>
              <w:jc w:val="left"/>
              <w:textAlignment w:val="auto"/>
              <w:rPr>
                <w:b/>
                <w:bCs/>
                <w:highlight w:val="none"/>
              </w:rPr>
            </w:pPr>
            <w:r>
              <w:rPr>
                <w:rFonts w:hint="eastAsia"/>
                <w:highlight w:val="none"/>
              </w:rPr>
              <w:t>二、谈判保证金的金额：RMB￥</w:t>
            </w:r>
            <w:r>
              <w:rPr>
                <w:rFonts w:hint="eastAsia" w:cs="Times New Roman"/>
                <w:b/>
                <w:bCs/>
                <w:highlight w:val="none"/>
                <w:lang w:val="en-US" w:eastAsia="zh-CN"/>
              </w:rPr>
              <w:t>10000.00</w:t>
            </w:r>
            <w:r>
              <w:rPr>
                <w:rFonts w:hint="eastAsia"/>
                <w:b/>
                <w:bCs/>
                <w:highlight w:val="none"/>
              </w:rPr>
              <w:t>元(大写：人民币</w:t>
            </w:r>
            <w:r>
              <w:rPr>
                <w:rFonts w:hint="eastAsia"/>
                <w:b/>
                <w:bCs/>
                <w:highlight w:val="none"/>
                <w:lang w:val="en-US" w:eastAsia="zh-CN"/>
              </w:rPr>
              <w:t>壹万元整</w:t>
            </w:r>
            <w:r>
              <w:rPr>
                <w:rFonts w:hint="eastAsia"/>
                <w:b/>
                <w:bCs/>
                <w:highlight w:val="none"/>
              </w:rPr>
              <w:t xml:space="preserve"> )</w:t>
            </w:r>
          </w:p>
          <w:p w14:paraId="3316BB15">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三、收款人信息：</w:t>
            </w:r>
          </w:p>
          <w:p w14:paraId="2C733BC3">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 xml:space="preserve">户名：连云港徐圩建筑工程有限公司  </w:t>
            </w:r>
          </w:p>
          <w:p w14:paraId="176A0075">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 xml:space="preserve">开户银行：中国建设银行股份有限公司连云港徐圩支行   </w:t>
            </w:r>
          </w:p>
          <w:p w14:paraId="62CC920D">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 xml:space="preserve">账号：32050110472800000576    </w:t>
            </w:r>
          </w:p>
          <w:p w14:paraId="43A55AEB">
            <w:pPr>
              <w:pStyle w:val="18"/>
              <w:keepNext w:val="0"/>
              <w:keepLines/>
              <w:pageBreakBefore w:val="0"/>
              <w:widowControl/>
              <w:kinsoku/>
              <w:wordWrap/>
              <w:overflowPunct/>
              <w:topLinePunct w:val="0"/>
              <w:autoSpaceDE/>
              <w:autoSpaceDN/>
              <w:bidi w:val="0"/>
              <w:adjustRightInd/>
              <w:spacing w:after="0" w:line="360" w:lineRule="exact"/>
              <w:ind w:firstLine="420"/>
              <w:textAlignment w:val="auto"/>
              <w:rPr>
                <w:highlight w:val="none"/>
              </w:rPr>
            </w:pPr>
            <w:r>
              <w:rPr>
                <w:highlight w:val="none"/>
              </w:rPr>
              <w:t>谈判保证金缴纳时应注明：</w:t>
            </w:r>
            <w:r>
              <w:rPr>
                <w:rFonts w:hint="eastAsia"/>
                <w:highlight w:val="none"/>
              </w:rPr>
              <w:t>工程</w:t>
            </w:r>
            <w:r>
              <w:rPr>
                <w:highlight w:val="none"/>
              </w:rPr>
              <w:t>保证金（如字数过多可简写项目名称关键字）</w:t>
            </w:r>
          </w:p>
          <w:p w14:paraId="4DED9F5D">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注意事项：</w:t>
            </w:r>
          </w:p>
          <w:p w14:paraId="29BD2FA8">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1. 采用转账、电汇、网银等形式缴纳谈判保证金的，谈判保证金应以供应商的</w:t>
            </w:r>
            <w:r>
              <w:rPr>
                <w:rFonts w:hint="eastAsia"/>
                <w:highlight w:val="none"/>
                <w:lang w:val="en-US" w:eastAsia="zh-CN"/>
              </w:rPr>
              <w:t>银行</w:t>
            </w:r>
            <w:r>
              <w:rPr>
                <w:rFonts w:hint="eastAsia"/>
                <w:highlight w:val="none"/>
              </w:rPr>
              <w:t>存款账户缴纳，以个人、企业的办事处、分公司、子公司名义或从他人账户缴纳的谈判保证金无效。谈判保证金必须在响应文件递交截止时间前一次性足额到账，超过谈判文件规定和要求递交谈判保证金的</w:t>
            </w:r>
            <w:r>
              <w:rPr>
                <w:rFonts w:hint="eastAsia"/>
                <w:highlight w:val="none"/>
                <w:lang w:eastAsia="zh-CN"/>
              </w:rPr>
              <w:t>，</w:t>
            </w:r>
            <w:r>
              <w:rPr>
                <w:rFonts w:hint="eastAsia"/>
                <w:highlight w:val="none"/>
              </w:rPr>
              <w:t>其响应文件无效；</w:t>
            </w:r>
          </w:p>
          <w:p w14:paraId="52F36699">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 xml:space="preserve">2. 谈判保证金的付方开户许可证中注明的开户行名称必须准确无误，如实际名称与开户许可证中注明的名称不一致请提前说明，否则采购人无法准确退还谈判保证金。如有疑问请致电 </w:t>
            </w:r>
            <w:r>
              <w:rPr>
                <w:rFonts w:hint="eastAsia"/>
                <w:highlight w:val="none"/>
                <w:lang w:val="en-US" w:eastAsia="zh-CN"/>
              </w:rPr>
              <w:t>15951253067</w:t>
            </w:r>
            <w:r>
              <w:rPr>
                <w:rFonts w:hint="eastAsia"/>
                <w:highlight w:val="none"/>
              </w:rPr>
              <w:t xml:space="preserve"> 联系确认，联系人： </w:t>
            </w:r>
            <w:r>
              <w:rPr>
                <w:rFonts w:hint="eastAsia"/>
                <w:highlight w:val="none"/>
                <w:lang w:val="en-US" w:eastAsia="zh-CN"/>
              </w:rPr>
              <w:t>赵工</w:t>
            </w:r>
            <w:r>
              <w:rPr>
                <w:rFonts w:hint="eastAsia"/>
                <w:highlight w:val="none"/>
              </w:rPr>
              <w:t xml:space="preserve"> 。</w:t>
            </w:r>
          </w:p>
          <w:p w14:paraId="5020FBFC">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default" w:eastAsia="宋体"/>
                <w:highlight w:val="none"/>
                <w:lang w:val="en-US" w:eastAsia="zh-CN"/>
              </w:rPr>
            </w:pPr>
            <w:r>
              <w:rPr>
                <w:rFonts w:hint="eastAsia"/>
                <w:highlight w:val="none"/>
              </w:rPr>
              <w:t>3.供应商应充分考虑保证金缴纳时间段内的银行处理业务时间以及节假日等客观因素，确保在工作日及时汇出并保证按时到账。</w:t>
            </w:r>
          </w:p>
        </w:tc>
      </w:tr>
      <w:tr w14:paraId="655E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D9E30A">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3.4.4</w:t>
            </w:r>
          </w:p>
        </w:tc>
        <w:tc>
          <w:tcPr>
            <w:tcW w:w="2269" w:type="dxa"/>
            <w:tcBorders>
              <w:top w:val="single" w:color="auto" w:sz="4" w:space="0"/>
              <w:left w:val="single" w:color="auto" w:sz="4" w:space="0"/>
              <w:bottom w:val="single" w:color="auto" w:sz="4" w:space="0"/>
              <w:right w:val="single" w:color="auto" w:sz="4" w:space="0"/>
            </w:tcBorders>
            <w:vAlign w:val="center"/>
          </w:tcPr>
          <w:p w14:paraId="12F5487B">
            <w:pPr>
              <w:keepLines/>
              <w:widowControl/>
              <w:adjustRightInd w:val="0"/>
              <w:snapToGrid w:val="0"/>
              <w:spacing w:line="360" w:lineRule="exact"/>
              <w:ind w:firstLine="0" w:firstLineChars="0"/>
              <w:rPr>
                <w:rFonts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5A43A2F4">
            <w:pPr>
              <w:keepLines/>
              <w:widowControl/>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供应商在</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有效期内撤销或修改响应文件的；</w:t>
            </w:r>
          </w:p>
          <w:p w14:paraId="0789FA90">
            <w:pPr>
              <w:keepLines/>
              <w:widowControl/>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2.</w:t>
            </w:r>
            <w:r>
              <w:rPr>
                <w:rFonts w:hAnsiTheme="minorEastAsia" w:eastAsiaTheme="minorEastAsia"/>
                <w:color w:val="000000" w:themeColor="text1"/>
                <w:szCs w:val="21"/>
                <w:highlight w:val="none"/>
                <w14:textFill>
                  <w14:solidFill>
                    <w14:schemeClr w14:val="tx1"/>
                  </w14:solidFill>
                </w14:textFill>
              </w:rPr>
              <w:t>除因不可抗力或谈判文件认可的情形以外，成交供应商不与采购人签订合同的；</w:t>
            </w:r>
          </w:p>
          <w:p w14:paraId="4D21EA94">
            <w:pPr>
              <w:keepLines/>
              <w:widowControl/>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3.成交</w:t>
            </w:r>
            <w:r>
              <w:rPr>
                <w:rFonts w:hAnsiTheme="minorEastAsia" w:eastAsiaTheme="minorEastAsia"/>
                <w:color w:val="000000" w:themeColor="text1"/>
                <w:szCs w:val="21"/>
                <w:highlight w:val="none"/>
                <w14:textFill>
                  <w14:solidFill>
                    <w14:schemeClr w14:val="tx1"/>
                  </w14:solidFill>
                </w14:textFill>
              </w:rPr>
              <w:t>供应商在签订合同时向采购人提出附加条件的；</w:t>
            </w:r>
          </w:p>
          <w:p w14:paraId="78454E16">
            <w:pPr>
              <w:keepLines/>
              <w:widowControl/>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4.成交</w:t>
            </w:r>
            <w:r>
              <w:rPr>
                <w:rFonts w:hAnsiTheme="minorEastAsia" w:eastAsiaTheme="minorEastAsia"/>
                <w:color w:val="000000" w:themeColor="text1"/>
                <w:szCs w:val="21"/>
                <w:highlight w:val="none"/>
                <w14:textFill>
                  <w14:solidFill>
                    <w14:schemeClr w14:val="tx1"/>
                  </w14:solidFill>
                </w14:textFill>
              </w:rPr>
              <w:t>供应商不按照谈判文件要求提交履约保证金的；</w:t>
            </w:r>
          </w:p>
          <w:p w14:paraId="341ECCFF">
            <w:pPr>
              <w:keepLines/>
              <w:widowControl/>
              <w:snapToGrid w:val="0"/>
              <w:spacing w:line="360" w:lineRule="exact"/>
              <w:ind w:firstLine="0" w:firstLineChars="0"/>
              <w:jc w:val="left"/>
              <w:rPr>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5.</w:t>
            </w:r>
            <w:r>
              <w:rPr>
                <w:rFonts w:hint="eastAsia" w:hAnsiTheme="minorEastAsia" w:eastAsiaTheme="minorEastAsia"/>
                <w:color w:val="000000" w:themeColor="text1"/>
                <w:szCs w:val="21"/>
                <w:highlight w:val="none"/>
                <w:lang w:eastAsia="zh-CN"/>
                <w14:textFill>
                  <w14:solidFill>
                    <w14:schemeClr w14:val="tx1"/>
                  </w14:solidFill>
                </w14:textFill>
              </w:rPr>
              <w:t>标中、标后被发现供应商存在恶意串通、出借（挂靠）资质、提供虚假承诺等违法违规行为的</w:t>
            </w:r>
            <w:r>
              <w:rPr>
                <w:rFonts w:hint="eastAsia" w:hAnsiTheme="minorEastAsia" w:eastAsiaTheme="minorEastAsia"/>
                <w:color w:val="000000" w:themeColor="text1"/>
                <w:szCs w:val="21"/>
                <w:highlight w:val="none"/>
                <w14:textFill>
                  <w14:solidFill>
                    <w14:schemeClr w14:val="tx1"/>
                  </w14:solidFill>
                </w14:textFill>
              </w:rPr>
              <w:t>。</w:t>
            </w:r>
          </w:p>
        </w:tc>
      </w:tr>
      <w:tr w14:paraId="3016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1EC0B3A">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w:t>
            </w:r>
            <w:r>
              <w:rPr>
                <w:rFonts w:hint="eastAsia" w:eastAsiaTheme="minorEastAsia"/>
                <w:color w:val="000000" w:themeColor="text1"/>
                <w:szCs w:val="21"/>
                <w:highlight w:val="none"/>
                <w14:textFill>
                  <w14:solidFill>
                    <w14:schemeClr w14:val="tx1"/>
                  </w14:solidFill>
                </w14:textFill>
              </w:rPr>
              <w:t>5</w:t>
            </w:r>
          </w:p>
        </w:tc>
        <w:tc>
          <w:tcPr>
            <w:tcW w:w="2269" w:type="dxa"/>
            <w:tcBorders>
              <w:top w:val="single" w:color="auto" w:sz="4" w:space="0"/>
              <w:left w:val="single" w:color="auto" w:sz="4" w:space="0"/>
              <w:bottom w:val="single" w:color="auto" w:sz="4" w:space="0"/>
              <w:right w:val="single" w:color="auto" w:sz="4" w:space="0"/>
            </w:tcBorders>
            <w:vAlign w:val="center"/>
          </w:tcPr>
          <w:p w14:paraId="086909A2">
            <w:pPr>
              <w:keepLines/>
              <w:widowControl/>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响应文件编制</w:t>
            </w:r>
          </w:p>
        </w:tc>
        <w:tc>
          <w:tcPr>
            <w:tcW w:w="5581" w:type="dxa"/>
            <w:tcBorders>
              <w:top w:val="single" w:color="auto" w:sz="4" w:space="0"/>
              <w:left w:val="single" w:color="auto" w:sz="4" w:space="0"/>
              <w:bottom w:val="single" w:color="auto" w:sz="4" w:space="0"/>
              <w:right w:val="single" w:color="auto" w:sz="4" w:space="0"/>
            </w:tcBorders>
          </w:tcPr>
          <w:p w14:paraId="2CB9C918">
            <w:pPr>
              <w:keepLines/>
              <w:widowControl/>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本项目谈判活动采用远程</w:t>
            </w:r>
            <w:r>
              <w:rPr>
                <w:rFonts w:hAnsi="宋体"/>
                <w:color w:val="000000" w:themeColor="text1"/>
                <w:szCs w:val="21"/>
                <w:highlight w:val="none"/>
                <w14:textFill>
                  <w14:solidFill>
                    <w14:schemeClr w14:val="tx1"/>
                  </w14:solidFill>
                </w14:textFill>
              </w:rPr>
              <w:t>不见面方式</w:t>
            </w:r>
            <w:r>
              <w:rPr>
                <w:rFonts w:hint="eastAsia" w:hAnsi="宋体"/>
                <w:color w:val="000000" w:themeColor="text1"/>
                <w:szCs w:val="21"/>
                <w:highlight w:val="none"/>
                <w14:textFill>
                  <w14:solidFill>
                    <w14:schemeClr w14:val="tx1"/>
                  </w14:solidFill>
                </w14:textFill>
              </w:rPr>
              <w:t>进行，供应商</w:t>
            </w:r>
            <w:r>
              <w:rPr>
                <w:rFonts w:hAnsi="宋体"/>
                <w:color w:val="000000" w:themeColor="text1"/>
                <w:szCs w:val="21"/>
                <w:highlight w:val="none"/>
                <w14:textFill>
                  <w14:solidFill>
                    <w14:schemeClr w14:val="tx1"/>
                  </w14:solidFill>
                </w14:textFill>
              </w:rPr>
              <w:t>无需提供纸质响应文件</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但</w:t>
            </w:r>
            <w:r>
              <w:rPr>
                <w:b/>
                <w:bCs/>
                <w:color w:val="FF0000"/>
                <w:szCs w:val="21"/>
                <w:highlight w:val="none"/>
              </w:rPr>
              <w:t>要求网络上传</w:t>
            </w:r>
            <w:r>
              <w:rPr>
                <w:rFonts w:hint="eastAsia"/>
                <w:b/>
                <w:bCs/>
                <w:color w:val="FF0000"/>
                <w:szCs w:val="21"/>
                <w:highlight w:val="none"/>
              </w:rPr>
              <w:t>电子响应文件</w:t>
            </w:r>
            <w:r>
              <w:rPr>
                <w:rFonts w:hAnsi="宋体"/>
                <w:color w:val="000000" w:themeColor="text1"/>
                <w:szCs w:val="21"/>
                <w:highlight w:val="none"/>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响应文件应按第</w:t>
            </w:r>
            <w:r>
              <w:rPr>
                <w:rFonts w:hint="eastAsia" w:hAnsiTheme="minorEastAsia" w:eastAsiaTheme="minorEastAsia"/>
                <w:color w:val="000000" w:themeColor="text1"/>
                <w:szCs w:val="21"/>
                <w:highlight w:val="none"/>
                <w14:textFill>
                  <w14:solidFill>
                    <w14:schemeClr w14:val="tx1"/>
                  </w14:solidFill>
                </w14:textFill>
              </w:rPr>
              <w:t>六</w:t>
            </w:r>
            <w:r>
              <w:rPr>
                <w:rFonts w:hAnsiTheme="minorEastAsia" w:eastAsiaTheme="minorEastAsia"/>
                <w:color w:val="000000" w:themeColor="text1"/>
                <w:szCs w:val="21"/>
                <w:highlight w:val="none"/>
                <w14:textFill>
                  <w14:solidFill>
                    <w14:schemeClr w14:val="tx1"/>
                  </w14:solidFill>
                </w14:textFill>
              </w:rPr>
              <w:t>章</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响应文件格式</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进行编写，如有必要可自行增加，作为响应文件的组成部分。</w:t>
            </w:r>
          </w:p>
          <w:p w14:paraId="2B787233">
            <w:pPr>
              <w:keepLines/>
              <w:widowControl/>
              <w:snapToGrid w:val="0"/>
              <w:spacing w:line="360" w:lineRule="exact"/>
              <w:ind w:firstLine="0" w:firstLineChars="0"/>
              <w:jc w:val="left"/>
              <w:rPr>
                <w:rFonts w:hint="eastAsia" w:eastAsia="宋体"/>
                <w:highlight w:val="none"/>
                <w:lang w:eastAsia="zh-CN"/>
              </w:rPr>
            </w:pPr>
            <w:r>
              <w:rPr>
                <w:rFonts w:hAnsi="宋体"/>
                <w:b/>
                <w:bCs/>
                <w:color w:val="000000" w:themeColor="text1"/>
                <w:szCs w:val="21"/>
                <w:highlight w:val="none"/>
                <w14:textFill>
                  <w14:solidFill>
                    <w14:schemeClr w14:val="tx1"/>
                  </w14:solidFill>
                </w14:textFill>
              </w:rPr>
              <w:t>成交结果公示期结束后成交供应商需提供三份纸质完整响应文件，其中正本一份，副本两份</w:t>
            </w:r>
            <w:r>
              <w:rPr>
                <w:rFonts w:hAnsi="宋体"/>
                <w:color w:val="000000" w:themeColor="text1"/>
                <w:szCs w:val="21"/>
                <w:highlight w:val="none"/>
                <w14:textFill>
                  <w14:solidFill>
                    <w14:schemeClr w14:val="tx1"/>
                  </w14:solidFill>
                </w14:textFill>
              </w:rPr>
              <w:t>。</w:t>
            </w:r>
          </w:p>
        </w:tc>
      </w:tr>
      <w:tr w14:paraId="2CD4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9556A01">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1.1</w:t>
            </w:r>
          </w:p>
        </w:tc>
        <w:tc>
          <w:tcPr>
            <w:tcW w:w="2269" w:type="dxa"/>
            <w:tcBorders>
              <w:top w:val="single" w:color="auto" w:sz="4" w:space="0"/>
              <w:left w:val="single" w:color="auto" w:sz="4" w:space="0"/>
              <w:bottom w:val="single" w:color="auto" w:sz="4" w:space="0"/>
              <w:right w:val="single" w:color="auto" w:sz="4" w:space="0"/>
            </w:tcBorders>
            <w:vAlign w:val="center"/>
          </w:tcPr>
          <w:p w14:paraId="186FB4EE">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响应文件递交</w:t>
            </w:r>
            <w:r>
              <w:rPr>
                <w:rFonts w:hAnsiTheme="minorEastAsia" w:eastAsiaTheme="minorEastAsia"/>
                <w:color w:val="000000" w:themeColor="text1"/>
                <w:szCs w:val="21"/>
                <w:highlight w:val="none"/>
                <w14:textFill>
                  <w14:solidFill>
                    <w14:schemeClr w14:val="tx1"/>
                  </w14:solidFill>
                </w14:textFill>
              </w:rPr>
              <w:t>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1151CF4D">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eastAsiaTheme="minorEastAsia"/>
                <w:b/>
                <w:bCs/>
                <w:color w:val="FF0000"/>
                <w:szCs w:val="21"/>
                <w:highlight w:val="none"/>
                <w:u w:val="single"/>
                <w:lang w:eastAsia="zh-CN"/>
              </w:rPr>
              <w:t>202</w:t>
            </w:r>
            <w:r>
              <w:rPr>
                <w:rFonts w:hint="eastAsia" w:eastAsiaTheme="minorEastAsia"/>
                <w:b/>
                <w:bCs/>
                <w:color w:val="FF0000"/>
                <w:szCs w:val="21"/>
                <w:highlight w:val="none"/>
                <w:u w:val="single"/>
                <w:lang w:val="en-US" w:eastAsia="zh-CN"/>
              </w:rPr>
              <w:t>5</w:t>
            </w:r>
            <w:r>
              <w:rPr>
                <w:rFonts w:hAnsiTheme="minorEastAsia" w:eastAsiaTheme="minorEastAsia"/>
                <w:b/>
                <w:bCs/>
                <w:color w:val="FF0000"/>
                <w:szCs w:val="21"/>
                <w:highlight w:val="none"/>
              </w:rPr>
              <w:t>年</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3</w:t>
            </w:r>
            <w:r>
              <w:rPr>
                <w:rFonts w:hint="eastAsia" w:hAnsiTheme="minorEastAsia" w:eastAsiaTheme="minorEastAsia"/>
                <w:b/>
                <w:bCs/>
                <w:color w:val="FF0000"/>
                <w:szCs w:val="21"/>
                <w:highlight w:val="none"/>
                <w:u w:val="single"/>
              </w:rPr>
              <w:t xml:space="preserve"> </w:t>
            </w:r>
            <w:r>
              <w:rPr>
                <w:rFonts w:hAnsiTheme="minorEastAsia" w:eastAsiaTheme="minorEastAsia"/>
                <w:b/>
                <w:bCs/>
                <w:color w:val="FF0000"/>
                <w:szCs w:val="21"/>
                <w:highlight w:val="none"/>
              </w:rPr>
              <w:t>月</w:t>
            </w:r>
            <w:r>
              <w:rPr>
                <w:rFonts w:hint="eastAsia" w:hAnsiTheme="minorEastAsia" w:eastAsiaTheme="minorEastAsia"/>
                <w:b/>
                <w:bCs/>
                <w:color w:val="FF0000"/>
                <w:szCs w:val="21"/>
                <w:highlight w:val="none"/>
                <w:u w:val="single"/>
                <w:lang w:val="en-US" w:eastAsia="zh-CN"/>
              </w:rPr>
              <w:t xml:space="preserve"> 3</w:t>
            </w:r>
            <w:r>
              <w:rPr>
                <w:rFonts w:hAnsiTheme="minorEastAsia" w:eastAsiaTheme="minorEastAsia"/>
                <w:b/>
                <w:bCs/>
                <w:color w:val="FF0000"/>
                <w:szCs w:val="21"/>
                <w:highlight w:val="none"/>
              </w:rPr>
              <w:t>日</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10</w:t>
            </w:r>
            <w:r>
              <w:rPr>
                <w:rFonts w:hint="eastAsia" w:hAnsiTheme="minorEastAsia" w:eastAsiaTheme="minorEastAsia"/>
                <w:b/>
                <w:bCs/>
                <w:color w:val="FF0000"/>
                <w:szCs w:val="21"/>
                <w:highlight w:val="none"/>
                <w:u w:val="single"/>
              </w:rPr>
              <w:t xml:space="preserve"> </w:t>
            </w:r>
            <w:r>
              <w:rPr>
                <w:rFonts w:hAnsiTheme="minorEastAsia" w:eastAsiaTheme="minorEastAsia"/>
                <w:b/>
                <w:bCs/>
                <w:color w:val="FF0000"/>
                <w:szCs w:val="21"/>
                <w:highlight w:val="none"/>
              </w:rPr>
              <w:t>时</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00</w:t>
            </w:r>
            <w:r>
              <w:rPr>
                <w:rFonts w:hint="eastAsia" w:hAnsiTheme="minorEastAsia" w:eastAsiaTheme="minorEastAsia"/>
                <w:b/>
                <w:bCs/>
                <w:color w:val="FF0000"/>
                <w:szCs w:val="21"/>
                <w:highlight w:val="none"/>
                <w:u w:val="single"/>
              </w:rPr>
              <w:t xml:space="preserve"> </w:t>
            </w:r>
            <w:r>
              <w:rPr>
                <w:rFonts w:hAnsiTheme="minorEastAsia" w:eastAsiaTheme="minorEastAsia"/>
                <w:b/>
                <w:bCs/>
                <w:color w:val="FF0000"/>
                <w:szCs w:val="21"/>
                <w:highlight w:val="none"/>
              </w:rPr>
              <w:t>分</w:t>
            </w:r>
          </w:p>
        </w:tc>
      </w:tr>
      <w:tr w14:paraId="17B5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A0FE673">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1.2</w:t>
            </w:r>
          </w:p>
        </w:tc>
        <w:tc>
          <w:tcPr>
            <w:tcW w:w="2269" w:type="dxa"/>
            <w:tcBorders>
              <w:top w:val="single" w:color="auto" w:sz="4" w:space="0"/>
              <w:left w:val="single" w:color="auto" w:sz="4" w:space="0"/>
              <w:bottom w:val="single" w:color="auto" w:sz="4" w:space="0"/>
              <w:right w:val="single" w:color="auto" w:sz="4" w:space="0"/>
            </w:tcBorders>
            <w:vAlign w:val="center"/>
          </w:tcPr>
          <w:p w14:paraId="4FE632CF">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响应</w:t>
            </w:r>
            <w:r>
              <w:rPr>
                <w:rFonts w:hAnsiTheme="minorEastAsia" w:eastAsiaTheme="minorEastAsia"/>
                <w:color w:val="000000" w:themeColor="text1"/>
                <w:szCs w:val="21"/>
                <w:highlight w:val="none"/>
                <w14:textFill>
                  <w14:solidFill>
                    <w14:schemeClr w14:val="tx1"/>
                  </w14:solidFill>
                </w14:textFill>
              </w:rPr>
              <w:t>文件</w:t>
            </w:r>
            <w:r>
              <w:rPr>
                <w:rFonts w:hint="eastAsia" w:hAnsiTheme="minorEastAsia" w:eastAsiaTheme="minorEastAsia"/>
                <w:color w:val="000000" w:themeColor="text1"/>
                <w:szCs w:val="21"/>
                <w:highlight w:val="none"/>
                <w14:textFill>
                  <w14:solidFill>
                    <w14:schemeClr w14:val="tx1"/>
                  </w14:solidFill>
                </w14:textFill>
              </w:rPr>
              <w:t>递交</w:t>
            </w:r>
            <w:r>
              <w:rPr>
                <w:rFonts w:hAnsiTheme="minorEastAsia" w:eastAsiaTheme="minorEastAsia"/>
                <w:color w:val="000000" w:themeColor="text1"/>
                <w:szCs w:val="21"/>
                <w:highlight w:val="none"/>
                <w14:textFill>
                  <w14:solidFill>
                    <w14:schemeClr w14:val="tx1"/>
                  </w14:solidFill>
                </w14:textFill>
              </w:rPr>
              <w:t>地点</w:t>
            </w:r>
          </w:p>
        </w:tc>
        <w:tc>
          <w:tcPr>
            <w:tcW w:w="5581" w:type="dxa"/>
            <w:tcBorders>
              <w:top w:val="single" w:color="auto" w:sz="4" w:space="0"/>
              <w:left w:val="single" w:color="auto" w:sz="4" w:space="0"/>
              <w:bottom w:val="single" w:color="auto" w:sz="4" w:space="0"/>
              <w:right w:val="single" w:color="auto" w:sz="4" w:space="0"/>
            </w:tcBorders>
          </w:tcPr>
          <w:p w14:paraId="4F3BCCF4">
            <w:pPr>
              <w:keepLines/>
              <w:widowControl/>
              <w:adjustRightInd w:val="0"/>
              <w:snapToGrid w:val="0"/>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本</w:t>
            </w:r>
            <w:r>
              <w:rPr>
                <w:rFonts w:hint="eastAsia" w:hAnsiTheme="minorEastAsia" w:eastAsiaTheme="minorEastAsia"/>
                <w:color w:val="000000" w:themeColor="text1"/>
                <w:szCs w:val="21"/>
                <w:highlight w:val="none"/>
                <w14:textFill>
                  <w14:solidFill>
                    <w14:schemeClr w14:val="tx1"/>
                  </w14:solidFill>
                </w14:textFill>
              </w:rPr>
              <w:t>项目</w:t>
            </w:r>
            <w:r>
              <w:rPr>
                <w:rFonts w:hAnsiTheme="minorEastAsia" w:eastAsiaTheme="minorEastAsia"/>
                <w:color w:val="000000" w:themeColor="text1"/>
                <w:szCs w:val="21"/>
                <w:highlight w:val="none"/>
                <w14:textFill>
                  <w14:solidFill>
                    <w14:schemeClr w14:val="tx1"/>
                  </w14:solidFill>
                </w14:textFill>
              </w:rPr>
              <w:t>采用远程不见面</w:t>
            </w:r>
            <w:r>
              <w:rPr>
                <w:rFonts w:hint="eastAsia" w:hAnsiTheme="minorEastAsia" w:eastAsiaTheme="minorEastAsia"/>
                <w:color w:val="000000" w:themeColor="text1"/>
                <w:szCs w:val="21"/>
                <w:highlight w:val="none"/>
                <w14:textFill>
                  <w14:solidFill>
                    <w14:schemeClr w14:val="tx1"/>
                  </w14:solidFill>
                </w14:textFill>
              </w:rPr>
              <w:t>线上</w:t>
            </w:r>
            <w:r>
              <w:rPr>
                <w:rFonts w:hAnsiTheme="minorEastAsia" w:eastAsiaTheme="minorEastAsia"/>
                <w:color w:val="000000" w:themeColor="text1"/>
                <w:szCs w:val="21"/>
                <w:highlight w:val="none"/>
                <w14:textFill>
                  <w14:solidFill>
                    <w14:schemeClr w14:val="tx1"/>
                  </w14:solidFill>
                </w14:textFill>
              </w:rPr>
              <w:t>交易模式，</w:t>
            </w:r>
            <w:r>
              <w:rPr>
                <w:rFonts w:hint="eastAsia" w:hAnsiTheme="minorEastAsia" w:eastAsiaTheme="minorEastAsia"/>
                <w:color w:val="000000" w:themeColor="text1"/>
                <w:szCs w:val="21"/>
                <w:highlight w:val="none"/>
                <w14:textFill>
                  <w14:solidFill>
                    <w14:schemeClr w14:val="tx1"/>
                  </w14:solidFill>
                </w14:textFill>
              </w:rPr>
              <w:t>响应</w:t>
            </w:r>
            <w:r>
              <w:rPr>
                <w:rFonts w:hAnsiTheme="minorEastAsia" w:eastAsiaTheme="minorEastAsia"/>
                <w:color w:val="000000" w:themeColor="text1"/>
                <w:szCs w:val="21"/>
                <w:highlight w:val="none"/>
                <w14:textFill>
                  <w14:solidFill>
                    <w14:schemeClr w14:val="tx1"/>
                  </w14:solidFill>
                </w14:textFill>
              </w:rPr>
              <w:t>文件由</w:t>
            </w:r>
            <w:r>
              <w:rPr>
                <w:rFonts w:hint="eastAsia" w:hAnsiTheme="minorEastAsia" w:eastAsiaTheme="minorEastAsia"/>
                <w:color w:val="000000" w:themeColor="text1"/>
                <w:szCs w:val="21"/>
                <w:highlight w:val="none"/>
                <w14:textFill>
                  <w14:solidFill>
                    <w14:schemeClr w14:val="tx1"/>
                  </w14:solidFill>
                </w14:textFill>
              </w:rPr>
              <w:t>供应商</w:t>
            </w:r>
            <w:r>
              <w:rPr>
                <w:rFonts w:hAnsiTheme="minorEastAsia" w:eastAsiaTheme="minorEastAsia"/>
                <w:color w:val="000000" w:themeColor="text1"/>
                <w:szCs w:val="21"/>
                <w:highlight w:val="none"/>
                <w14:textFill>
                  <w14:solidFill>
                    <w14:schemeClr w14:val="tx1"/>
                  </w14:solidFill>
                </w14:textFill>
              </w:rPr>
              <w:t>在</w:t>
            </w:r>
            <w:r>
              <w:rPr>
                <w:rFonts w:hint="eastAsia" w:hAnsiTheme="minorEastAsia" w:eastAsiaTheme="minorEastAsia"/>
                <w:color w:val="000000" w:themeColor="text1"/>
                <w:szCs w:val="21"/>
                <w:highlight w:val="none"/>
                <w14:textFill>
                  <w14:solidFill>
                    <w14:schemeClr w14:val="tx1"/>
                  </w14:solidFill>
                </w14:textFill>
              </w:rPr>
              <w:t>响应文件递交</w:t>
            </w:r>
            <w:r>
              <w:rPr>
                <w:rFonts w:hAnsiTheme="minorEastAsia" w:eastAsiaTheme="minorEastAsia"/>
                <w:color w:val="000000" w:themeColor="text1"/>
                <w:szCs w:val="21"/>
                <w:highlight w:val="none"/>
                <w14:textFill>
                  <w14:solidFill>
                    <w14:schemeClr w14:val="tx1"/>
                  </w14:solidFill>
                </w14:textFill>
              </w:rPr>
              <w:t>截止时间前自行在</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hAnsiTheme="minorEastAsia" w:eastAsiaTheme="minorEastAsia"/>
                <w:color w:val="000000" w:themeColor="text1"/>
                <w:szCs w:val="21"/>
                <w:highlight w:val="none"/>
                <w14:textFill>
                  <w14:solidFill>
                    <w14:schemeClr w14:val="tx1"/>
                  </w14:solidFill>
                </w14:textFill>
              </w:rPr>
              <w:t>上传。</w:t>
            </w:r>
          </w:p>
        </w:tc>
      </w:tr>
      <w:tr w14:paraId="2618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6B4C294">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5.1</w:t>
            </w:r>
            <w:r>
              <w:rPr>
                <w:rFonts w:hint="eastAsia" w:eastAsiaTheme="minorEastAsia"/>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6DC1AF84">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时间和地点</w:t>
            </w:r>
          </w:p>
        </w:tc>
        <w:tc>
          <w:tcPr>
            <w:tcW w:w="5581" w:type="dxa"/>
            <w:tcBorders>
              <w:top w:val="single" w:color="auto" w:sz="4" w:space="0"/>
              <w:left w:val="single" w:color="auto" w:sz="4" w:space="0"/>
              <w:bottom w:val="single" w:color="auto" w:sz="4" w:space="0"/>
              <w:right w:val="single" w:color="auto" w:sz="4" w:space="0"/>
            </w:tcBorders>
          </w:tcPr>
          <w:p w14:paraId="1A36A243">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谈判时间：同响应文件递交截止时间，远程采购项目的时间均以国家授时中心发布的时间为准。</w:t>
            </w:r>
          </w:p>
          <w:p w14:paraId="43AD2C6B">
            <w:pPr>
              <w:keepLines/>
              <w:widowControl/>
              <w:adjustRightInd w:val="0"/>
              <w:snapToGrid w:val="0"/>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谈判地点：谈判当日，供应商不必抵达谈判现场</w:t>
            </w:r>
            <w:r>
              <w:rPr>
                <w:rFonts w:hAnsiTheme="minorEastAsia" w:eastAsiaTheme="minorEastAsia"/>
                <w:color w:val="000000" w:themeColor="text1"/>
                <w:szCs w:val="21"/>
                <w:highlight w:val="none"/>
                <w14:textFill>
                  <w14:solidFill>
                    <w14:schemeClr w14:val="tx1"/>
                  </w14:solidFill>
                </w14:textFill>
              </w:rPr>
              <w:t>，仅需在任意地点通过</w:t>
            </w:r>
            <w:r>
              <w:rPr>
                <w:rFonts w:hint="eastAsia" w:hAnsiTheme="minorEastAsia"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hint="eastAsia" w:hAnsiTheme="minorEastAsia" w:eastAsiaTheme="minorEastAsia"/>
                <w:color w:val="000000" w:themeColor="text1"/>
                <w:szCs w:val="21"/>
                <w:highlight w:val="none"/>
                <w14:textFill>
                  <w14:solidFill>
                    <w14:schemeClr w14:val="tx1"/>
                  </w14:solidFill>
                </w14:textFill>
              </w:rPr>
              <w:t>”远程</w:t>
            </w:r>
            <w:r>
              <w:rPr>
                <w:rFonts w:hAnsiTheme="minorEastAsia" w:eastAsiaTheme="minorEastAsia"/>
                <w:color w:val="000000" w:themeColor="text1"/>
                <w:szCs w:val="21"/>
                <w:highlight w:val="none"/>
                <w14:textFill>
                  <w14:solidFill>
                    <w14:schemeClr w14:val="tx1"/>
                  </w14:solidFill>
                </w14:textFill>
              </w:rPr>
              <w:t>参加</w:t>
            </w:r>
            <w:r>
              <w:rPr>
                <w:rFonts w:hint="eastAsia" w:hAnsiTheme="minorEastAsia" w:eastAsiaTheme="minorEastAsia"/>
                <w:color w:val="000000" w:themeColor="text1"/>
                <w:szCs w:val="21"/>
                <w:highlight w:val="none"/>
                <w14:textFill>
                  <w14:solidFill>
                    <w14:schemeClr w14:val="tx1"/>
                  </w14:solidFill>
                </w14:textFill>
              </w:rPr>
              <w:t>谈判活动。</w:t>
            </w:r>
          </w:p>
        </w:tc>
      </w:tr>
      <w:tr w14:paraId="7866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44E9722">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w:t>
            </w:r>
            <w:r>
              <w:rPr>
                <w:rFonts w:hint="eastAsia" w:eastAsiaTheme="minorEastAsia"/>
                <w:color w:val="000000" w:themeColor="text1"/>
                <w:szCs w:val="21"/>
                <w:highlight w:val="none"/>
                <w14:textFill>
                  <w14:solidFill>
                    <w14:schemeClr w14:val="tx1"/>
                  </w14:solidFill>
                </w14:textFill>
              </w:rPr>
              <w:t>1.2</w:t>
            </w:r>
          </w:p>
        </w:tc>
        <w:tc>
          <w:tcPr>
            <w:tcW w:w="2269" w:type="dxa"/>
            <w:tcBorders>
              <w:top w:val="single" w:color="auto" w:sz="4" w:space="0"/>
              <w:left w:val="single" w:color="auto" w:sz="4" w:space="0"/>
              <w:bottom w:val="single" w:color="auto" w:sz="4" w:space="0"/>
              <w:right w:val="single" w:color="auto" w:sz="4" w:space="0"/>
            </w:tcBorders>
            <w:vAlign w:val="center"/>
          </w:tcPr>
          <w:p w14:paraId="3D2032F7">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供应商参会代表</w:t>
            </w:r>
          </w:p>
        </w:tc>
        <w:tc>
          <w:tcPr>
            <w:tcW w:w="5581" w:type="dxa"/>
            <w:tcBorders>
              <w:top w:val="single" w:color="auto" w:sz="4" w:space="0"/>
              <w:left w:val="single" w:color="auto" w:sz="4" w:space="0"/>
              <w:bottom w:val="single" w:color="auto" w:sz="4" w:space="0"/>
              <w:right w:val="single" w:color="auto" w:sz="4" w:space="0"/>
            </w:tcBorders>
          </w:tcPr>
          <w:p w14:paraId="7BCD05FD">
            <w:pPr>
              <w:keepLines/>
              <w:widowControl/>
              <w:adjustRightInd w:val="0"/>
              <w:snapToGrid w:val="0"/>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参加远程谈判会议的供应商代表须为供应商响应函明确的授权委托代表。供应商</w:t>
            </w:r>
            <w:r>
              <w:rPr>
                <w:rFonts w:hAnsiTheme="minorEastAsia" w:eastAsiaTheme="minorEastAsia"/>
                <w:color w:val="000000" w:themeColor="text1"/>
                <w:szCs w:val="21"/>
                <w:highlight w:val="none"/>
                <w14:textFill>
                  <w14:solidFill>
                    <w14:schemeClr w14:val="tx1"/>
                  </w14:solidFill>
                </w14:textFill>
              </w:rPr>
              <w:t>参与交互的人员将一直被视为是</w:t>
            </w:r>
            <w:r>
              <w:rPr>
                <w:rFonts w:hint="eastAsia" w:hAnsiTheme="minorEastAsia" w:eastAsiaTheme="minorEastAsia"/>
                <w:color w:val="000000" w:themeColor="text1"/>
                <w:szCs w:val="21"/>
                <w:highlight w:val="none"/>
                <w14:textFill>
                  <w14:solidFill>
                    <w14:schemeClr w14:val="tx1"/>
                  </w14:solidFill>
                </w14:textFill>
              </w:rPr>
              <w:t>供应商</w:t>
            </w:r>
            <w:r>
              <w:rPr>
                <w:rFonts w:hAnsiTheme="minorEastAsia" w:eastAsiaTheme="minorEastAsia"/>
                <w:color w:val="000000" w:themeColor="text1"/>
                <w:szCs w:val="21"/>
                <w:highlight w:val="none"/>
                <w14:textFill>
                  <w14:solidFill>
                    <w14:schemeClr w14:val="tx1"/>
                  </w14:solidFill>
                </w14:textFill>
              </w:rPr>
              <w:t>的授权委托</w:t>
            </w:r>
            <w:r>
              <w:rPr>
                <w:rFonts w:hint="eastAsia" w:hAnsiTheme="minorEastAsia" w:eastAsiaTheme="minorEastAsia"/>
                <w:color w:val="000000" w:themeColor="text1"/>
                <w:szCs w:val="21"/>
                <w:highlight w:val="none"/>
                <w14:textFill>
                  <w14:solidFill>
                    <w14:schemeClr w14:val="tx1"/>
                  </w14:solidFill>
                </w14:textFill>
              </w:rPr>
              <w:t>代表</w:t>
            </w:r>
            <w:r>
              <w:rPr>
                <w:rFonts w:hAnsiTheme="minorEastAsia" w:eastAsiaTheme="minorEastAsia"/>
                <w:color w:val="000000" w:themeColor="text1"/>
                <w:szCs w:val="21"/>
                <w:highlight w:val="none"/>
                <w14:textFill>
                  <w14:solidFill>
                    <w14:schemeClr w14:val="tx1"/>
                  </w14:solidFill>
                </w14:textFill>
              </w:rPr>
              <w:t>，</w:t>
            </w:r>
            <w:r>
              <w:rPr>
                <w:rFonts w:hint="eastAsia" w:hAnsiTheme="minorEastAsia" w:eastAsiaTheme="minorEastAsia"/>
                <w:color w:val="000000" w:themeColor="text1"/>
                <w:szCs w:val="21"/>
                <w:highlight w:val="none"/>
                <w14:textFill>
                  <w14:solidFill>
                    <w14:schemeClr w14:val="tx1"/>
                  </w14:solidFill>
                </w14:textFill>
              </w:rPr>
              <w:t>供应商</w:t>
            </w:r>
            <w:r>
              <w:rPr>
                <w:rFonts w:hAnsiTheme="minorEastAsia" w:eastAsiaTheme="minorEastAsia"/>
                <w:color w:val="000000" w:themeColor="text1"/>
                <w:szCs w:val="21"/>
                <w:highlight w:val="none"/>
                <w14:textFill>
                  <w14:solidFill>
                    <w14:schemeClr w14:val="tx1"/>
                  </w14:solidFill>
                </w14:textFill>
              </w:rPr>
              <w:t>自行承担弄虚作假、随意更换人员所导致的一切后果。</w:t>
            </w:r>
          </w:p>
          <w:p w14:paraId="2B0E85AB">
            <w:pPr>
              <w:keepLines/>
              <w:widowControl/>
              <w:adjustRightInd w:val="0"/>
              <w:snapToGrid w:val="0"/>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注：</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当日，</w:t>
            </w:r>
            <w:r>
              <w:rPr>
                <w:rFonts w:hint="eastAsia" w:hAnsiTheme="minorEastAsia" w:eastAsiaTheme="minorEastAsia"/>
                <w:color w:val="000000" w:themeColor="text1"/>
                <w:szCs w:val="21"/>
                <w:highlight w:val="none"/>
                <w14:textFill>
                  <w14:solidFill>
                    <w14:schemeClr w14:val="tx1"/>
                  </w14:solidFill>
                </w14:textFill>
              </w:rPr>
              <w:t>供应商授权委托代表</w:t>
            </w:r>
            <w:r>
              <w:rPr>
                <w:rFonts w:hAnsiTheme="minorEastAsia" w:eastAsiaTheme="minorEastAsia"/>
                <w:color w:val="000000" w:themeColor="text1"/>
                <w:szCs w:val="21"/>
                <w:highlight w:val="none"/>
                <w14:textFill>
                  <w14:solidFill>
                    <w14:schemeClr w14:val="tx1"/>
                  </w14:solidFill>
                </w14:textFill>
              </w:rPr>
              <w:t>不必抵达</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现场，应当在</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文件确定的</w:t>
            </w:r>
            <w:r>
              <w:rPr>
                <w:rFonts w:hint="eastAsia" w:hAnsiTheme="minorEastAsia" w:eastAsiaTheme="minorEastAsia"/>
                <w:color w:val="000000" w:themeColor="text1"/>
                <w:szCs w:val="21"/>
                <w:highlight w:val="none"/>
                <w14:textFill>
                  <w14:solidFill>
                    <w14:schemeClr w14:val="tx1"/>
                  </w14:solidFill>
                </w14:textFill>
              </w:rPr>
              <w:t>响应</w:t>
            </w:r>
            <w:r>
              <w:rPr>
                <w:rFonts w:hAnsiTheme="minorEastAsia" w:eastAsiaTheme="minorEastAsia"/>
                <w:color w:val="000000" w:themeColor="text1"/>
                <w:szCs w:val="21"/>
                <w:highlight w:val="none"/>
                <w14:textFill>
                  <w14:solidFill>
                    <w14:schemeClr w14:val="tx1"/>
                  </w14:solidFill>
                </w14:textFill>
              </w:rPr>
              <w:t>文件递交截止时间前</w:t>
            </w:r>
            <w:r>
              <w:rPr>
                <w:rFonts w:eastAsiaTheme="minorEastAsia"/>
                <w:color w:val="000000" w:themeColor="text1"/>
                <w:szCs w:val="21"/>
                <w:highlight w:val="none"/>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在线准时参加</w:t>
            </w:r>
            <w:r>
              <w:rPr>
                <w:rFonts w:hint="eastAsia" w:hAnsiTheme="minorEastAsia" w:eastAsiaTheme="minorEastAsia"/>
                <w:color w:val="000000" w:themeColor="text1"/>
                <w:szCs w:val="21"/>
                <w:highlight w:val="none"/>
                <w14:textFill>
                  <w14:solidFill>
                    <w14:schemeClr w14:val="tx1"/>
                  </w14:solidFill>
                </w14:textFill>
              </w:rPr>
              <w:t>谈判活动</w:t>
            </w:r>
            <w:r>
              <w:rPr>
                <w:rFonts w:hAnsiTheme="minorEastAsia" w:eastAsiaTheme="minorEastAsia"/>
                <w:color w:val="000000" w:themeColor="text1"/>
                <w:szCs w:val="21"/>
                <w:highlight w:val="none"/>
                <w14:textFill>
                  <w14:solidFill>
                    <w14:schemeClr w14:val="tx1"/>
                  </w14:solidFill>
                </w14:textFill>
              </w:rPr>
              <w:t>。</w:t>
            </w:r>
          </w:p>
        </w:tc>
      </w:tr>
      <w:tr w14:paraId="21EA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BE9F6D3">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2D30F081">
            <w:pPr>
              <w:keepLines/>
              <w:widowControl/>
              <w:adjustRightInd w:val="0"/>
              <w:snapToGrid w:val="0"/>
              <w:spacing w:line="360" w:lineRule="exact"/>
              <w:ind w:firstLine="0" w:firstLineChars="0"/>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谈判程序</w:t>
            </w:r>
          </w:p>
        </w:tc>
        <w:tc>
          <w:tcPr>
            <w:tcW w:w="5581" w:type="dxa"/>
            <w:tcBorders>
              <w:top w:val="single" w:color="auto" w:sz="4" w:space="0"/>
              <w:left w:val="single" w:color="auto" w:sz="4" w:space="0"/>
              <w:bottom w:val="single" w:color="auto" w:sz="4" w:space="0"/>
              <w:right w:val="single" w:color="auto" w:sz="4" w:space="0"/>
            </w:tcBorders>
          </w:tcPr>
          <w:p w14:paraId="25406D33">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1.开启谈判响应文件；</w:t>
            </w:r>
          </w:p>
          <w:p w14:paraId="2B9C5AA4">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2.唱标；</w:t>
            </w:r>
          </w:p>
          <w:p w14:paraId="1504D518">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3.评审小组初步评审；</w:t>
            </w:r>
          </w:p>
          <w:p w14:paraId="0D3BCFF2">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4.通过初步评审的供应商二次报价、二次唱标（如有）；</w:t>
            </w:r>
          </w:p>
          <w:p w14:paraId="310743C7">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5.评审小组详细评审；</w:t>
            </w:r>
          </w:p>
          <w:p w14:paraId="6311AEE0">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6.评审小组推荐成交候选人；</w:t>
            </w:r>
          </w:p>
          <w:p w14:paraId="3C765F0E">
            <w:pPr>
              <w:keepLines/>
              <w:widowControl/>
              <w:adjustRightInd w:val="0"/>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7.结束。</w:t>
            </w:r>
          </w:p>
        </w:tc>
      </w:tr>
      <w:tr w14:paraId="51D7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E2AC9DC">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36CE5C53">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评审小组</w:t>
            </w:r>
            <w:r>
              <w:rPr>
                <w:rFonts w:hAnsiTheme="minorEastAsia" w:eastAsiaTheme="minorEastAsia"/>
                <w:color w:val="000000" w:themeColor="text1"/>
                <w:szCs w:val="21"/>
                <w:highlight w:val="none"/>
                <w14:textFill>
                  <w14:solidFill>
                    <w14:schemeClr w14:val="tx1"/>
                  </w14:solidFill>
                </w14:textFill>
              </w:rPr>
              <w:t>的组建</w:t>
            </w:r>
          </w:p>
        </w:tc>
        <w:tc>
          <w:tcPr>
            <w:tcW w:w="5581" w:type="dxa"/>
            <w:tcBorders>
              <w:top w:val="single" w:color="auto" w:sz="4" w:space="0"/>
              <w:left w:val="single" w:color="auto" w:sz="4" w:space="0"/>
              <w:bottom w:val="single" w:color="auto" w:sz="4" w:space="0"/>
              <w:right w:val="single" w:color="auto" w:sz="4" w:space="0"/>
            </w:tcBorders>
            <w:vAlign w:val="center"/>
          </w:tcPr>
          <w:p w14:paraId="721B1DB2">
            <w:pPr>
              <w:keepLines/>
              <w:widowControl/>
              <w:adjustRightInd w:val="0"/>
              <w:snapToGrid w:val="0"/>
              <w:spacing w:line="360" w:lineRule="exact"/>
              <w:ind w:firstLine="0" w:firstLineChars="0"/>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评审小组的构成：</w:t>
            </w:r>
            <w:r>
              <w:rPr>
                <w:rFonts w:hint="eastAsia" w:hAnsiTheme="minorEastAsia" w:eastAsiaTheme="minorEastAsia"/>
                <w:color w:val="000000" w:themeColor="text1"/>
                <w:szCs w:val="21"/>
                <w:highlight w:val="none"/>
                <w:u w:val="single"/>
                <w14:textFill>
                  <w14:solidFill>
                    <w14:schemeClr w14:val="tx1"/>
                  </w14:solidFill>
                </w14:textFill>
              </w:rPr>
              <w:t xml:space="preserve"> 3人及以上的单数 </w:t>
            </w:r>
            <w:r>
              <w:rPr>
                <w:rFonts w:hint="eastAsia" w:hAnsiTheme="minorEastAsia" w:eastAsiaTheme="minorEastAsia"/>
                <w:color w:val="000000" w:themeColor="text1"/>
                <w:szCs w:val="21"/>
                <w:highlight w:val="none"/>
                <w14:textFill>
                  <w14:solidFill>
                    <w14:schemeClr w14:val="tx1"/>
                  </w14:solidFill>
                </w14:textFill>
              </w:rPr>
              <w:t>。</w:t>
            </w:r>
          </w:p>
          <w:p w14:paraId="28AFAC6A">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评标专家确定方式：</w:t>
            </w:r>
            <w:r>
              <w:rPr>
                <w:rFonts w:hAnsiTheme="minorEastAsia" w:eastAsiaTheme="minorEastAsia"/>
                <w:color w:val="000000" w:themeColor="text1"/>
                <w:szCs w:val="21"/>
                <w:highlight w:val="none"/>
                <w:u w:val="single"/>
                <w14:textFill>
                  <w14:solidFill>
                    <w14:schemeClr w14:val="tx1"/>
                  </w14:solidFill>
                </w14:textFill>
              </w:rPr>
              <w:t>专家库中随机抽取</w:t>
            </w:r>
            <w:r>
              <w:rPr>
                <w:rFonts w:hAnsiTheme="minorEastAsia" w:eastAsiaTheme="minorEastAsia"/>
                <w:color w:val="000000" w:themeColor="text1"/>
                <w:szCs w:val="21"/>
                <w:highlight w:val="none"/>
                <w14:textFill>
                  <w14:solidFill>
                    <w14:schemeClr w14:val="tx1"/>
                  </w14:solidFill>
                </w14:textFill>
              </w:rPr>
              <w:t>。</w:t>
            </w:r>
          </w:p>
        </w:tc>
      </w:tr>
      <w:tr w14:paraId="7342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7BBC00C">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5.6</w:t>
            </w:r>
          </w:p>
        </w:tc>
        <w:tc>
          <w:tcPr>
            <w:tcW w:w="2269" w:type="dxa"/>
            <w:tcBorders>
              <w:top w:val="single" w:color="auto" w:sz="4" w:space="0"/>
              <w:left w:val="single" w:color="auto" w:sz="4" w:space="0"/>
              <w:bottom w:val="single" w:color="auto" w:sz="4" w:space="0"/>
              <w:right w:val="single" w:color="auto" w:sz="4" w:space="0"/>
            </w:tcBorders>
            <w:vAlign w:val="center"/>
          </w:tcPr>
          <w:p w14:paraId="4ED5BCC3">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评审入围条件、评审</w:t>
            </w:r>
            <w:r>
              <w:rPr>
                <w:rFonts w:hAnsiTheme="minorEastAsia" w:eastAsiaTheme="minorEastAsia"/>
                <w:color w:val="000000" w:themeColor="text1"/>
                <w:szCs w:val="21"/>
                <w:highlight w:val="none"/>
                <w14:textFill>
                  <w14:solidFill>
                    <w14:schemeClr w14:val="tx1"/>
                  </w14:solidFill>
                </w14:textFill>
              </w:rPr>
              <w:t>方法</w:t>
            </w:r>
            <w:r>
              <w:rPr>
                <w:rFonts w:hint="eastAsia" w:hAnsiTheme="minorEastAsia" w:eastAsiaTheme="minorEastAsia"/>
                <w:color w:val="000000" w:themeColor="text1"/>
                <w:szCs w:val="21"/>
                <w:highlight w:val="none"/>
                <w14:textFill>
                  <w14:solidFill>
                    <w14:schemeClr w14:val="tx1"/>
                  </w14:solidFill>
                </w14:textFill>
              </w:rPr>
              <w:t>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753589DC">
            <w:pPr>
              <w:keepLines/>
              <w:widowControl/>
              <w:adjustRightInd w:val="0"/>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ascii="宋体" w:hAnsi="宋体" w:eastAsiaTheme="minorEastAsia"/>
                <w:b/>
                <w:bCs/>
                <w:szCs w:val="21"/>
                <w:highlight w:val="none"/>
              </w:rPr>
              <w:t>评审</w:t>
            </w:r>
            <w:r>
              <w:rPr>
                <w:rFonts w:hint="eastAsia" w:ascii="宋体" w:hAnsi="宋体"/>
                <w:b/>
                <w:bCs/>
                <w:szCs w:val="21"/>
                <w:highlight w:val="none"/>
              </w:rPr>
              <w:t>入围条件：供应商响应文件响应函中载明的报价高于采购人期望值的（</w:t>
            </w:r>
            <w:r>
              <w:rPr>
                <w:rFonts w:hint="eastAsia" w:ascii="宋体" w:hAnsi="宋体"/>
                <w:b/>
                <w:bCs/>
                <w:color w:val="FF0000"/>
                <w:szCs w:val="21"/>
                <w:highlight w:val="none"/>
              </w:rPr>
              <w:t>采购人期望值=采购控制价*</w:t>
            </w:r>
            <w:r>
              <w:rPr>
                <w:rFonts w:hint="eastAsia" w:ascii="宋体" w:hAnsi="宋体"/>
                <w:b/>
                <w:bCs/>
                <w:color w:val="FF0000"/>
                <w:szCs w:val="21"/>
                <w:highlight w:val="none"/>
                <w:lang w:val="en-US" w:eastAsia="zh-CN"/>
              </w:rPr>
              <w:t>100%</w:t>
            </w:r>
            <w:r>
              <w:rPr>
                <w:rFonts w:hint="eastAsia" w:ascii="宋体" w:hAnsi="宋体"/>
                <w:b/>
                <w:bCs/>
                <w:szCs w:val="21"/>
                <w:highlight w:val="none"/>
              </w:rPr>
              <w:t>），不再进行后续评审。</w:t>
            </w:r>
          </w:p>
          <w:p w14:paraId="495C92E9">
            <w:pPr>
              <w:keepLines/>
              <w:widowControl/>
              <w:adjustRightInd w:val="0"/>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评审方法：</w:t>
            </w:r>
            <w:r>
              <w:rPr>
                <w:rFonts w:hAnsiTheme="minorEastAsia" w:eastAsiaTheme="minorEastAsia"/>
                <w:color w:val="000000" w:themeColor="text1"/>
                <w:szCs w:val="21"/>
                <w:highlight w:val="none"/>
                <w14:textFill>
                  <w14:solidFill>
                    <w14:schemeClr w14:val="tx1"/>
                  </w14:solidFill>
                </w14:textFill>
              </w:rPr>
              <w:t>采用经评审的最低价法。</w:t>
            </w:r>
          </w:p>
          <w:p w14:paraId="2ACF59E1">
            <w:pPr>
              <w:keepLines/>
              <w:widowControl/>
              <w:adjustRightInd w:val="0"/>
              <w:snapToGrid w:val="0"/>
              <w:spacing w:line="360" w:lineRule="exact"/>
              <w:ind w:firstLine="0" w:firstLineChars="0"/>
              <w:jc w:val="left"/>
              <w:rPr>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推荐的成交供应商候选人数：</w:t>
            </w:r>
            <w:r>
              <w:rPr>
                <w:rFonts w:hint="eastAsia" w:hAnsiTheme="minorEastAsia" w:eastAsiaTheme="minorEastAsia"/>
                <w:color w:val="000000" w:themeColor="text1"/>
                <w:szCs w:val="21"/>
                <w:highlight w:val="none"/>
                <w:lang w:val="en-US" w:eastAsia="zh-CN"/>
                <w14:textFill>
                  <w14:solidFill>
                    <w14:schemeClr w14:val="tx1"/>
                  </w14:solidFill>
                </w14:textFill>
              </w:rPr>
              <w:t>1-</w:t>
            </w:r>
            <w:r>
              <w:rPr>
                <w:rFonts w:hint="eastAsia" w:hAnsiTheme="minorEastAsia" w:eastAsiaTheme="minorEastAsia"/>
                <w:color w:val="000000" w:themeColor="text1"/>
                <w:szCs w:val="21"/>
                <w:highlight w:val="none"/>
                <w14:textFill>
                  <w14:solidFill>
                    <w14:schemeClr w14:val="tx1"/>
                  </w14:solidFill>
                </w14:textFill>
              </w:rPr>
              <w:t>3名</w:t>
            </w:r>
          </w:p>
        </w:tc>
      </w:tr>
      <w:tr w14:paraId="63E6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D05A098">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w:t>
            </w:r>
            <w:r>
              <w:rPr>
                <w:rFonts w:hint="eastAsia" w:eastAsiaTheme="minorEastAsia"/>
                <w:color w:val="000000" w:themeColor="text1"/>
                <w:szCs w:val="21"/>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vAlign w:val="center"/>
          </w:tcPr>
          <w:p w14:paraId="6B393C5A">
            <w:pPr>
              <w:keepLines/>
              <w:widowControl/>
              <w:adjustRightInd w:val="0"/>
              <w:snapToGrid w:val="0"/>
              <w:spacing w:line="360" w:lineRule="exact"/>
              <w:ind w:firstLine="0" w:firstLineChars="0"/>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投诉受理</w:t>
            </w:r>
            <w:r>
              <w:rPr>
                <w:rFonts w:hAnsiTheme="minorEastAsia" w:eastAsiaTheme="minorEastAsia"/>
                <w:color w:val="000000" w:themeColor="text1"/>
                <w:szCs w:val="21"/>
                <w:highlight w:val="none"/>
                <w14:textFill>
                  <w14:solidFill>
                    <w14:schemeClr w14:val="tx1"/>
                  </w14:solidFill>
                </w14:textFill>
              </w:rPr>
              <w:t>部门</w:t>
            </w:r>
          </w:p>
        </w:tc>
        <w:tc>
          <w:tcPr>
            <w:tcW w:w="5581" w:type="dxa"/>
            <w:tcBorders>
              <w:top w:val="single" w:color="auto" w:sz="4" w:space="0"/>
              <w:left w:val="single" w:color="auto" w:sz="4" w:space="0"/>
              <w:bottom w:val="single" w:color="auto" w:sz="4" w:space="0"/>
              <w:right w:val="single" w:color="auto" w:sz="4" w:space="0"/>
            </w:tcBorders>
            <w:vAlign w:val="top"/>
          </w:tcPr>
          <w:p w14:paraId="5303A6F1">
            <w:pPr>
              <w:keepLines/>
              <w:widowControl/>
              <w:adjustRightInd w:val="0"/>
              <w:snapToGrid w:val="0"/>
              <w:spacing w:line="360" w:lineRule="exact"/>
              <w:ind w:firstLine="0" w:firstLineChars="0"/>
              <w:jc w:val="left"/>
              <w:rPr>
                <w:rFonts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投诉受理部门：</w:t>
            </w:r>
            <w:r>
              <w:rPr>
                <w:rFonts w:hAnsiTheme="minorEastAsia" w:eastAsiaTheme="minorEastAsia"/>
                <w:color w:val="000000" w:themeColor="text1"/>
                <w:szCs w:val="21"/>
                <w:highlight w:val="none"/>
                <w14:textFill>
                  <w14:solidFill>
                    <w14:schemeClr w14:val="tx1"/>
                  </w14:solidFill>
                </w14:textFill>
              </w:rPr>
              <w:sym w:font="Wingdings" w:char="00A8"/>
            </w:r>
            <w:r>
              <w:rPr>
                <w:rFonts w:hAnsiTheme="minorEastAsia" w:eastAsiaTheme="minorEastAsia"/>
                <w:color w:val="000000" w:themeColor="text1"/>
                <w:szCs w:val="21"/>
                <w:highlight w:val="none"/>
                <w14:textFill>
                  <w14:solidFill>
                    <w14:schemeClr w14:val="tx1"/>
                  </w14:solidFill>
                </w14:textFill>
              </w:rPr>
              <w:t>徐圩新区招标办</w:t>
            </w:r>
            <w:r>
              <w:rPr>
                <w:rFonts w:hAnsiTheme="minorEastAsia" w:eastAsiaTheme="minorEastAsia"/>
                <w:color w:val="000000" w:themeColor="text1"/>
                <w:szCs w:val="21"/>
                <w:highlight w:val="none"/>
                <w14:textFill>
                  <w14:solidFill>
                    <w14:schemeClr w14:val="tx1"/>
                  </w14:solidFill>
                </w14:textFill>
              </w:rPr>
              <w:sym w:font="Wingdings" w:char="00FE"/>
            </w:r>
            <w:r>
              <w:rPr>
                <w:rFonts w:hAnsiTheme="minorEastAsia" w:eastAsiaTheme="minorEastAsia"/>
                <w:color w:val="000000" w:themeColor="text1"/>
                <w:szCs w:val="21"/>
                <w:highlight w:val="none"/>
                <w14:textFill>
                  <w14:solidFill>
                    <w14:schemeClr w14:val="tx1"/>
                  </w14:solidFill>
                </w14:textFill>
              </w:rPr>
              <w:t>采购人监察审计部门</w:t>
            </w:r>
          </w:p>
          <w:p w14:paraId="61584DEE">
            <w:pPr>
              <w:keepLines/>
              <w:widowControl/>
              <w:adjustRightInd w:val="0"/>
              <w:snapToGrid w:val="0"/>
              <w:spacing w:line="360" w:lineRule="exact"/>
              <w:ind w:firstLine="0" w:firstLineChars="0"/>
              <w:jc w:val="left"/>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联系方式</w:t>
            </w:r>
            <w:r>
              <w:rPr>
                <w:rFonts w:hAnsiTheme="minorEastAsia" w:eastAsiaTheme="minorEastAsia"/>
                <w:color w:val="000000" w:themeColor="text1"/>
                <w:szCs w:val="21"/>
                <w:highlight w:val="none"/>
                <w14:textFill>
                  <w14:solidFill>
                    <w14:schemeClr w14:val="tx1"/>
                  </w14:solidFill>
                </w14:textFill>
              </w:rPr>
              <w:t>：</w:t>
            </w:r>
            <w:r>
              <w:rPr>
                <w:rFonts w:hint="eastAsia" w:hAnsiTheme="minorEastAsia" w:eastAsiaTheme="minorEastAsia"/>
                <w:color w:val="000000" w:themeColor="text1"/>
                <w:szCs w:val="21"/>
                <w:highlight w:val="none"/>
                <w:u w:val="single"/>
                <w14:textFill>
                  <w14:solidFill>
                    <w14:schemeClr w14:val="tx1"/>
                  </w14:solidFill>
                </w14:textFill>
              </w:rPr>
              <w:t xml:space="preserve">方洋集团监察审计部 </w:t>
            </w:r>
            <w:r>
              <w:rPr>
                <w:rFonts w:hAnsiTheme="minorEastAsia" w:eastAsiaTheme="minorEastAsia"/>
                <w:color w:val="000000" w:themeColor="text1"/>
                <w:szCs w:val="21"/>
                <w:highlight w:val="none"/>
                <w14:textFill>
                  <w14:solidFill>
                    <w14:schemeClr w14:val="tx1"/>
                  </w14:solidFill>
                </w14:textFill>
              </w:rPr>
              <w:t>联系电话：</w:t>
            </w:r>
            <w:r>
              <w:rPr>
                <w:rFonts w:hint="eastAsia" w:hAnsiTheme="minorEastAsia" w:eastAsiaTheme="minorEastAsia"/>
                <w:color w:val="000000" w:themeColor="text1"/>
                <w:szCs w:val="21"/>
                <w:highlight w:val="none"/>
                <w:u w:val="single"/>
                <w14:textFill>
                  <w14:solidFill>
                    <w14:schemeClr w14:val="tx1"/>
                  </w14:solidFill>
                </w14:textFill>
              </w:rPr>
              <w:t xml:space="preserve">0518-82256909 </w:t>
            </w:r>
          </w:p>
        </w:tc>
      </w:tr>
      <w:tr w14:paraId="53A3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DACA3D1">
            <w:pPr>
              <w:keepLines/>
              <w:widowControl/>
              <w:adjustRightInd w:val="0"/>
              <w:snapToGrid w:val="0"/>
              <w:spacing w:line="360" w:lineRule="exact"/>
              <w:ind w:firstLine="0" w:firstLineChars="0"/>
              <w:rPr>
                <w:rFonts w:ascii="Times New Roman" w:hAnsi="Times New Roman" w:cs="Times New Roman" w:eastAsiaTheme="minorEastAsia"/>
                <w:color w:val="000000" w:themeColor="text1"/>
                <w:szCs w:val="21"/>
                <w:highlight w:val="none"/>
                <w14:textFill>
                  <w14:solidFill>
                    <w14:schemeClr w14:val="tx1"/>
                  </w14:solidFill>
                </w14:textFill>
              </w:rPr>
            </w:pPr>
            <w:bookmarkStart w:id="13" w:name="_Toc152042318"/>
            <w:bookmarkStart w:id="14" w:name="_Toc247527567"/>
            <w:bookmarkStart w:id="15" w:name="_Toc144974510"/>
            <w:bookmarkStart w:id="16" w:name="_Toc443200825"/>
            <w:bookmarkStart w:id="17" w:name="_Toc152045542"/>
            <w:bookmarkStart w:id="18" w:name="_Toc247513966"/>
            <w:r>
              <w:rPr>
                <w:rFonts w:ascii="Times New Roman" w:hAnsi="Times New Roman" w:cs="Times New Roman" w:eastAsiaTheme="minorEastAsia"/>
                <w:color w:val="000000" w:themeColor="text1"/>
                <w:szCs w:val="21"/>
                <w:highlight w:val="none"/>
                <w14:textFill>
                  <w14:solidFill>
                    <w14:schemeClr w14:val="tx1"/>
                  </w14:solidFill>
                </w14:textFill>
              </w:rPr>
              <w:t>8.5.</w:t>
            </w:r>
            <w:r>
              <w:rPr>
                <w:rFonts w:hint="eastAsia" w:ascii="Times New Roman" w:hAnsi="Times New Roman" w:cs="Times New Roman" w:eastAsiaTheme="minorEastAsia"/>
                <w:color w:val="000000" w:themeColor="text1"/>
                <w:szCs w:val="21"/>
                <w:highlight w:val="none"/>
                <w14:textFill>
                  <w14:solidFill>
                    <w14:schemeClr w14:val="tx1"/>
                  </w14:solidFill>
                </w14:textFill>
              </w:rPr>
              <w:t>6</w:t>
            </w:r>
          </w:p>
        </w:tc>
        <w:tc>
          <w:tcPr>
            <w:tcW w:w="2269" w:type="dxa"/>
            <w:tcBorders>
              <w:top w:val="single" w:color="auto" w:sz="4" w:space="0"/>
              <w:left w:val="single" w:color="auto" w:sz="4" w:space="0"/>
              <w:bottom w:val="single" w:color="auto" w:sz="4" w:space="0"/>
              <w:right w:val="single" w:color="auto" w:sz="4" w:space="0"/>
            </w:tcBorders>
            <w:vAlign w:val="center"/>
          </w:tcPr>
          <w:p w14:paraId="69B31E7B">
            <w:pPr>
              <w:keepLines/>
              <w:widowControl/>
              <w:adjustRightInd w:val="0"/>
              <w:snapToGrid w:val="0"/>
              <w:spacing w:line="360" w:lineRule="exact"/>
              <w:ind w:firstLine="0" w:firstLineChars="0"/>
              <w:rPr>
                <w:rFonts w:hint="eastAsia" w:ascii="Times New Roman" w:hAnsi="Times New Roman" w:cs="Times New Roman" w:eastAsiaTheme="minorEastAsia"/>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14:textFill>
                  <w14:solidFill>
                    <w14:schemeClr w14:val="tx1"/>
                  </w14:solidFill>
                </w14:textFill>
              </w:rPr>
              <w:t>异议</w:t>
            </w:r>
            <w:r>
              <w:rPr>
                <w:rFonts w:hint="eastAsia" w:ascii="Times New Roman" w:hAnsi="Times New Roman" w:cs="Times New Roman" w:eastAsiaTheme="minorEastAsia"/>
                <w:color w:val="000000" w:themeColor="text1"/>
                <w:szCs w:val="21"/>
                <w:highlight w:val="none"/>
                <w14:textFill>
                  <w14:solidFill>
                    <w14:schemeClr w14:val="tx1"/>
                  </w14:solidFill>
                </w14:textFill>
              </w:rPr>
              <w:t>提出的方式</w:t>
            </w:r>
          </w:p>
        </w:tc>
        <w:tc>
          <w:tcPr>
            <w:tcW w:w="5581" w:type="dxa"/>
            <w:tcBorders>
              <w:top w:val="single" w:color="auto" w:sz="4" w:space="0"/>
              <w:left w:val="single" w:color="auto" w:sz="4" w:space="0"/>
              <w:bottom w:val="single" w:color="auto" w:sz="4" w:space="0"/>
              <w:right w:val="single" w:color="auto" w:sz="4" w:space="0"/>
            </w:tcBorders>
            <w:vAlign w:val="center"/>
          </w:tcPr>
          <w:p w14:paraId="5F2154E9">
            <w:pPr>
              <w:keepNext w:val="0"/>
              <w:pageBreakBefore w:val="0"/>
              <w:kinsoku/>
              <w:wordWrap/>
              <w:overflowPunct/>
              <w:topLinePunct w:val="0"/>
              <w:autoSpaceDE/>
              <w:autoSpaceDN/>
              <w:bidi w:val="0"/>
              <w:adjustRightInd w:val="0"/>
              <w:snapToGrid w:val="0"/>
              <w:ind w:firstLine="0" w:firstLineChars="0"/>
              <w:textAlignment w:val="auto"/>
              <w:rPr>
                <w:szCs w:val="21"/>
                <w:highlight w:val="none"/>
              </w:rPr>
            </w:pPr>
            <w:r>
              <w:rPr>
                <w:szCs w:val="21"/>
                <w:highlight w:val="none"/>
              </w:rPr>
              <w:t>（一）</w:t>
            </w:r>
            <w:r>
              <w:rPr>
                <w:rFonts w:hint="eastAsia"/>
                <w:szCs w:val="21"/>
                <w:highlight w:val="none"/>
              </w:rPr>
              <w:t>异议提交的</w:t>
            </w:r>
            <w:r>
              <w:rPr>
                <w:highlight w:val="none"/>
              </w:rPr>
              <w:t>形式：</w:t>
            </w:r>
            <w:r>
              <w:rPr>
                <w:rFonts w:hint="eastAsia"/>
                <w:highlight w:val="none"/>
              </w:rPr>
              <w:t>现场递交、邮寄（快递）提交等</w:t>
            </w:r>
            <w:r>
              <w:rPr>
                <w:szCs w:val="21"/>
                <w:highlight w:val="none"/>
              </w:rPr>
              <w:t>；</w:t>
            </w:r>
          </w:p>
          <w:p w14:paraId="4B9C0535">
            <w:pPr>
              <w:keepNext w:val="0"/>
              <w:pageBreakBefore w:val="0"/>
              <w:kinsoku/>
              <w:wordWrap/>
              <w:overflowPunct/>
              <w:topLinePunct w:val="0"/>
              <w:autoSpaceDE/>
              <w:autoSpaceDN/>
              <w:bidi w:val="0"/>
              <w:adjustRightInd w:val="0"/>
              <w:snapToGrid w:val="0"/>
              <w:ind w:firstLine="0" w:firstLineChars="0"/>
              <w:textAlignment w:val="auto"/>
              <w:rPr>
                <w:rFonts w:hint="eastAsia" w:eastAsia="宋体" w:hAnsiTheme="minorEastAsia"/>
                <w:color w:val="000000" w:themeColor="text1"/>
                <w:szCs w:val="21"/>
                <w:highlight w:val="none"/>
                <w:lang w:eastAsia="zh-CN"/>
                <w14:textFill>
                  <w14:solidFill>
                    <w14:schemeClr w14:val="tx1"/>
                  </w14:solidFill>
                </w14:textFill>
              </w:rPr>
            </w:pPr>
            <w:r>
              <w:rPr>
                <w:szCs w:val="21"/>
                <w:highlight w:val="none"/>
              </w:rPr>
              <w:t>（二）</w:t>
            </w:r>
            <w:r>
              <w:rPr>
                <w:highlight w:val="none"/>
              </w:rPr>
              <w:t>采用</w:t>
            </w:r>
            <w:r>
              <w:rPr>
                <w:rFonts w:hint="eastAsia"/>
                <w:highlight w:val="none"/>
              </w:rPr>
              <w:t>现场递交</w:t>
            </w:r>
            <w:r>
              <w:rPr>
                <w:highlight w:val="none"/>
              </w:rPr>
              <w:t>、</w:t>
            </w:r>
            <w:r>
              <w:rPr>
                <w:rFonts w:hint="eastAsia"/>
                <w:highlight w:val="none"/>
              </w:rPr>
              <w:t>邮寄（快递）</w:t>
            </w:r>
            <w:r>
              <w:rPr>
                <w:highlight w:val="none"/>
              </w:rPr>
              <w:t>形式</w:t>
            </w:r>
            <w:r>
              <w:rPr>
                <w:rFonts w:hint="eastAsia"/>
                <w:szCs w:val="21"/>
                <w:highlight w:val="none"/>
              </w:rPr>
              <w:t>提交异议书</w:t>
            </w:r>
            <w:r>
              <w:rPr>
                <w:highlight w:val="none"/>
              </w:rPr>
              <w:t>的</w:t>
            </w:r>
            <w:r>
              <w:rPr>
                <w:rFonts w:hint="eastAsia"/>
                <w:szCs w:val="21"/>
                <w:highlight w:val="none"/>
              </w:rPr>
              <w:t>，异议人需联系采购人获取地址，异议书格式需符合法律法规规定要求，异议书参考格式可在</w:t>
            </w:r>
            <w:r>
              <w:rPr>
                <w:rFonts w:hint="eastAsia"/>
                <w:highlight w:val="none"/>
              </w:rPr>
              <w:t>徐圩新区公共资源交易服务平台服务指南中下载</w:t>
            </w:r>
            <w:r>
              <w:rPr>
                <w:rFonts w:hint="eastAsia"/>
                <w:highlight w:val="none"/>
                <w:lang w:eastAsia="zh-CN"/>
              </w:rPr>
              <w:t>。</w:t>
            </w:r>
          </w:p>
        </w:tc>
      </w:tr>
      <w:tr w14:paraId="04A8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7361D93">
            <w:pPr>
              <w:keepLines/>
              <w:widowControl/>
              <w:adjustRightInd w:val="0"/>
              <w:snapToGrid w:val="0"/>
              <w:spacing w:line="360" w:lineRule="exact"/>
              <w:ind w:firstLine="0" w:firstLineChars="0"/>
              <w:rPr>
                <w:rFonts w:ascii="Times New Roman" w:hAnsi="Times New Roman" w:cs="Times New Roman" w:eastAsiaTheme="minorEastAsia"/>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14:textFill>
                  <w14:solidFill>
                    <w14:schemeClr w14:val="tx1"/>
                  </w14:solidFill>
                </w14:textFill>
              </w:rPr>
              <w:t>8.5.</w:t>
            </w:r>
            <w:r>
              <w:rPr>
                <w:rFonts w:hint="eastAsia" w:ascii="Times New Roman" w:hAnsi="Times New Roman" w:cs="Times New Roman" w:eastAsiaTheme="minorEastAsia"/>
                <w:color w:val="000000" w:themeColor="text1"/>
                <w:szCs w:val="21"/>
                <w:highlight w:val="none"/>
                <w14:textFill>
                  <w14:solidFill>
                    <w14:schemeClr w14:val="tx1"/>
                  </w14:solidFill>
                </w14:textFill>
              </w:rPr>
              <w:t>7</w:t>
            </w:r>
          </w:p>
        </w:tc>
        <w:tc>
          <w:tcPr>
            <w:tcW w:w="2269" w:type="dxa"/>
            <w:tcBorders>
              <w:top w:val="single" w:color="auto" w:sz="4" w:space="0"/>
              <w:left w:val="single" w:color="auto" w:sz="4" w:space="0"/>
              <w:bottom w:val="single" w:color="auto" w:sz="4" w:space="0"/>
              <w:right w:val="single" w:color="auto" w:sz="4" w:space="0"/>
            </w:tcBorders>
            <w:vAlign w:val="center"/>
          </w:tcPr>
          <w:p w14:paraId="36C623A4">
            <w:pPr>
              <w:keepLines/>
              <w:widowControl/>
              <w:adjustRightInd w:val="0"/>
              <w:snapToGrid w:val="0"/>
              <w:spacing w:line="360" w:lineRule="exact"/>
              <w:ind w:firstLine="0" w:firstLineChars="0"/>
              <w:rPr>
                <w:rFonts w:hint="eastAsia" w:ascii="Times New Roman" w:hAnsi="Times New Roman" w:cs="Times New Roman" w:eastAsiaTheme="minorEastAsia"/>
                <w:color w:val="000000" w:themeColor="text1"/>
                <w:szCs w:val="21"/>
                <w:highlight w:val="none"/>
                <w14:textFill>
                  <w14:solidFill>
                    <w14:schemeClr w14:val="tx1"/>
                  </w14:solidFill>
                </w14:textFill>
              </w:rPr>
            </w:pPr>
            <w:r>
              <w:rPr>
                <w:rFonts w:hint="eastAsia" w:ascii="Times New Roman" w:hAnsi="Times New Roman" w:cs="Times New Roman" w:eastAsiaTheme="minorEastAsia"/>
                <w:color w:val="000000" w:themeColor="text1"/>
                <w:szCs w:val="21"/>
                <w:highlight w:val="none"/>
                <w14:textFill>
                  <w14:solidFill>
                    <w14:schemeClr w14:val="tx1"/>
                  </w14:solidFill>
                </w14:textFill>
              </w:rPr>
              <w:t>投诉提出的方式</w:t>
            </w:r>
          </w:p>
        </w:tc>
        <w:tc>
          <w:tcPr>
            <w:tcW w:w="5581" w:type="dxa"/>
            <w:tcBorders>
              <w:top w:val="single" w:color="auto" w:sz="4" w:space="0"/>
              <w:left w:val="single" w:color="auto" w:sz="4" w:space="0"/>
              <w:bottom w:val="single" w:color="auto" w:sz="4" w:space="0"/>
              <w:right w:val="single" w:color="auto" w:sz="4" w:space="0"/>
            </w:tcBorders>
            <w:vAlign w:val="center"/>
          </w:tcPr>
          <w:p w14:paraId="6B3C45BC">
            <w:pPr>
              <w:keepNext w:val="0"/>
              <w:pageBreakBefore w:val="0"/>
              <w:kinsoku/>
              <w:wordWrap/>
              <w:overflowPunct/>
              <w:topLinePunct w:val="0"/>
              <w:autoSpaceDE/>
              <w:autoSpaceDN/>
              <w:bidi w:val="0"/>
              <w:adjustRightInd w:val="0"/>
              <w:snapToGrid w:val="0"/>
              <w:ind w:firstLine="0" w:firstLineChars="0"/>
              <w:textAlignment w:val="auto"/>
              <w:rPr>
                <w:szCs w:val="21"/>
                <w:highlight w:val="none"/>
              </w:rPr>
            </w:pPr>
            <w:r>
              <w:rPr>
                <w:szCs w:val="21"/>
                <w:highlight w:val="none"/>
              </w:rPr>
              <w:t>（一）</w:t>
            </w:r>
            <w:r>
              <w:rPr>
                <w:rFonts w:hint="eastAsia"/>
                <w:szCs w:val="21"/>
                <w:highlight w:val="none"/>
              </w:rPr>
              <w:t>投诉提交的</w:t>
            </w:r>
            <w:r>
              <w:rPr>
                <w:highlight w:val="none"/>
              </w:rPr>
              <w:t>形式：</w:t>
            </w:r>
            <w:r>
              <w:rPr>
                <w:rFonts w:hint="eastAsia"/>
                <w:highlight w:val="none"/>
              </w:rPr>
              <w:t>现场递交、邮寄（快递）提交等</w:t>
            </w:r>
            <w:r>
              <w:rPr>
                <w:szCs w:val="21"/>
                <w:highlight w:val="none"/>
              </w:rPr>
              <w:t>；</w:t>
            </w:r>
          </w:p>
          <w:p w14:paraId="427FD63F">
            <w:pPr>
              <w:keepNext w:val="0"/>
              <w:pageBreakBefore w:val="0"/>
              <w:kinsoku/>
              <w:wordWrap/>
              <w:overflowPunct/>
              <w:topLinePunct w:val="0"/>
              <w:autoSpaceDE/>
              <w:autoSpaceDN/>
              <w:bidi w:val="0"/>
              <w:adjustRightInd w:val="0"/>
              <w:snapToGrid w:val="0"/>
              <w:ind w:firstLine="0" w:firstLineChars="0"/>
              <w:textAlignment w:val="auto"/>
              <w:rPr>
                <w:rFonts w:hint="eastAsia" w:eastAsia="宋体" w:hAnsiTheme="minorEastAsia"/>
                <w:color w:val="000000" w:themeColor="text1"/>
                <w:szCs w:val="21"/>
                <w:highlight w:val="none"/>
                <w:lang w:eastAsia="zh-CN"/>
                <w14:textFill>
                  <w14:solidFill>
                    <w14:schemeClr w14:val="tx1"/>
                  </w14:solidFill>
                </w14:textFill>
              </w:rPr>
            </w:pPr>
            <w:r>
              <w:rPr>
                <w:szCs w:val="21"/>
                <w:highlight w:val="none"/>
              </w:rPr>
              <w:t>（二）</w:t>
            </w:r>
            <w:r>
              <w:rPr>
                <w:highlight w:val="none"/>
              </w:rPr>
              <w:t>采用</w:t>
            </w:r>
            <w:r>
              <w:rPr>
                <w:rFonts w:hint="eastAsia"/>
                <w:highlight w:val="none"/>
              </w:rPr>
              <w:t>现场递交</w:t>
            </w:r>
            <w:r>
              <w:rPr>
                <w:highlight w:val="none"/>
              </w:rPr>
              <w:t>、</w:t>
            </w:r>
            <w:r>
              <w:rPr>
                <w:rFonts w:hint="eastAsia"/>
                <w:highlight w:val="none"/>
              </w:rPr>
              <w:t>邮寄（快递）</w:t>
            </w:r>
            <w:r>
              <w:rPr>
                <w:highlight w:val="none"/>
              </w:rPr>
              <w:t>形式</w:t>
            </w:r>
            <w:r>
              <w:rPr>
                <w:rFonts w:hint="eastAsia"/>
                <w:szCs w:val="21"/>
                <w:highlight w:val="none"/>
              </w:rPr>
              <w:t>提交投诉书</w:t>
            </w:r>
            <w:r>
              <w:rPr>
                <w:highlight w:val="none"/>
              </w:rPr>
              <w:t>的</w:t>
            </w:r>
            <w:r>
              <w:rPr>
                <w:rFonts w:hint="eastAsia"/>
                <w:szCs w:val="21"/>
                <w:highlight w:val="none"/>
              </w:rPr>
              <w:t>，投诉人需联系投诉受理单位获取地址，投诉书参考格式可在</w:t>
            </w:r>
            <w:r>
              <w:rPr>
                <w:rFonts w:hint="eastAsia"/>
                <w:highlight w:val="none"/>
              </w:rPr>
              <w:t>徐圩新区公共资源交易服务平台服务指南中下载</w:t>
            </w:r>
            <w:r>
              <w:rPr>
                <w:rFonts w:hint="eastAsia"/>
                <w:highlight w:val="none"/>
                <w:lang w:eastAsia="zh-CN"/>
              </w:rPr>
              <w:t>。</w:t>
            </w:r>
          </w:p>
        </w:tc>
      </w:tr>
      <w:tr w14:paraId="485D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86BA39D">
            <w:pPr>
              <w:keepLines/>
              <w:widowControl/>
              <w:adjustRightInd w:val="0"/>
              <w:snapToGrid w:val="0"/>
              <w:spacing w:line="360" w:lineRule="exact"/>
              <w:ind w:firstLine="0" w:firstLineChars="0"/>
              <w:rPr>
                <w:rFonts w:ascii="Times New Roman" w:hAnsi="Times New Roman" w:cs="Times New Roman" w:eastAsiaTheme="minorEastAsia"/>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14:textFill>
                  <w14:solidFill>
                    <w14:schemeClr w14:val="tx1"/>
                  </w14:solidFill>
                </w14:textFill>
              </w:rPr>
              <w:t xml:space="preserve">10. </w:t>
            </w:r>
            <w:r>
              <w:rPr>
                <w:rFonts w:hint="eastAsia" w:ascii="Times New Roman" w:hAnsi="Times New Roman" w:cs="Times New Roman" w:eastAsiaTheme="minorEastAsia"/>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53EA331D">
            <w:pPr>
              <w:keepLines/>
              <w:widowControl/>
              <w:adjustRightInd w:val="0"/>
              <w:snapToGrid w:val="0"/>
              <w:spacing w:line="360" w:lineRule="exact"/>
              <w:ind w:firstLine="0" w:firstLineChars="0"/>
              <w:rPr>
                <w:rFonts w:hint="eastAsia" w:ascii="Times New Roman" w:hAnsi="Times New Roman" w:cs="Times New Roman" w:eastAsiaTheme="minorEastAsia"/>
                <w:color w:val="000000" w:themeColor="text1"/>
                <w:szCs w:val="21"/>
                <w:highlight w:val="none"/>
                <w14:textFill>
                  <w14:solidFill>
                    <w14:schemeClr w14:val="tx1"/>
                  </w14:solidFill>
                </w14:textFill>
              </w:rPr>
            </w:pPr>
            <w:r>
              <w:rPr>
                <w:rFonts w:ascii="Times New Roman" w:hAnsi="Times New Roman" w:cs="Times New Roman" w:eastAsiaTheme="minorEastAsia"/>
                <w:color w:val="000000" w:themeColor="text1"/>
                <w:szCs w:val="21"/>
                <w:highlight w:val="none"/>
                <w14:textFill>
                  <w14:solidFill>
                    <w14:schemeClr w14:val="tx1"/>
                  </w14:solidFill>
                </w14:textFill>
              </w:rPr>
              <w:t>需要补充的其他内容</w:t>
            </w:r>
          </w:p>
        </w:tc>
        <w:tc>
          <w:tcPr>
            <w:tcW w:w="5581" w:type="dxa"/>
            <w:tcBorders>
              <w:top w:val="single" w:color="auto" w:sz="4" w:space="0"/>
              <w:left w:val="single" w:color="auto" w:sz="4" w:space="0"/>
              <w:bottom w:val="single" w:color="auto" w:sz="4" w:space="0"/>
              <w:right w:val="single" w:color="auto" w:sz="4" w:space="0"/>
            </w:tcBorders>
            <w:vAlign w:val="top"/>
          </w:tcPr>
          <w:p w14:paraId="325FED81">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本项目采用远程不见面线上开展谈判及评审。供应商除网上下载谈判文件外，还应在供应商须知前附表规定的响应文件递交截止时间前，向“</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hAnsiTheme="minorEastAsia" w:eastAsiaTheme="minorEastAsia"/>
                <w:color w:val="000000" w:themeColor="text1"/>
                <w:szCs w:val="21"/>
                <w:highlight w:val="none"/>
                <w14:textFill>
                  <w14:solidFill>
                    <w14:schemeClr w14:val="tx1"/>
                  </w14:solidFill>
                </w14:textFill>
              </w:rPr>
              <w:t>”递交电子响应文件。因供应商原因造成响应文件在规定的时间内未能正常下载的，该响应文件将被拒绝。本次采购活动通过不见面交易系统及相应的配套硬件设备（摄像头、话筒、麦克风等）完成响应文件报价宣布、响应文件评审等交互环节。相关要求和说明如下：</w:t>
            </w:r>
          </w:p>
          <w:p w14:paraId="5F0D8568">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（1）远程采购项目的时间均以国家授时中心发布的时间为准；</w:t>
            </w:r>
          </w:p>
          <w:p w14:paraId="5880CFFC">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（2）响应文件递交及评审当日，供应商不必抵达开标现场，应当在谈判文件确定的响应文件递交截止时间前在线准时参加谈判活动。</w:t>
            </w:r>
          </w:p>
          <w:p w14:paraId="4A35250D">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★注：</w:t>
            </w:r>
          </w:p>
          <w:p w14:paraId="47DFDFF1">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响应文件递交截止时间前，各供应商授权委托人提前</w:t>
            </w:r>
            <w:r>
              <w:rPr>
                <w:rFonts w:hint="eastAsia" w:hAnsiTheme="minorEastAsia" w:eastAsiaTheme="minorEastAsia"/>
                <w:color w:val="000000" w:themeColor="text1"/>
                <w:szCs w:val="21"/>
                <w:highlight w:val="none"/>
                <w:lang w:val="en-US" w:eastAsia="zh-CN"/>
                <w14:textFill>
                  <w14:solidFill>
                    <w14:schemeClr w14:val="tx1"/>
                  </w14:solidFill>
                </w14:textFill>
              </w:rPr>
              <w:t>登录</w:t>
            </w:r>
            <w:r>
              <w:rPr>
                <w:rFonts w:hint="eastAsia" w:hAnsiTheme="minorEastAsia" w:eastAsiaTheme="minorEastAsia"/>
                <w:color w:val="000000" w:themeColor="text1"/>
                <w:szCs w:val="21"/>
                <w:highlight w:val="none"/>
                <w:lang w:eastAsia="zh-CN"/>
                <w14:textFill>
                  <w14:solidFill>
                    <w14:schemeClr w14:val="tx1"/>
                  </w14:solidFill>
                </w14:textFill>
              </w:rPr>
              <w:t>“</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hint="eastAsia" w:hAnsiTheme="minor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，进入相应项目的</w:t>
            </w:r>
            <w:r>
              <w:rPr>
                <w:rFonts w:hint="eastAsia" w:hAnsiTheme="minorEastAsia" w:eastAsiaTheme="minorEastAsia"/>
                <w:color w:val="000000" w:themeColor="text1"/>
                <w:szCs w:val="21"/>
                <w:highlight w:val="none"/>
                <w:lang w:val="en-US" w:eastAsia="zh-CN"/>
                <w14:textFill>
                  <w14:solidFill>
                    <w14:schemeClr w14:val="tx1"/>
                  </w14:solidFill>
                </w14:textFill>
              </w:rPr>
              <w:t>开标室参与并</w:t>
            </w:r>
            <w:r>
              <w:rPr>
                <w:rFonts w:hAnsiTheme="minorEastAsia" w:eastAsiaTheme="minorEastAsia"/>
                <w:color w:val="000000" w:themeColor="text1"/>
                <w:szCs w:val="21"/>
                <w:highlight w:val="none"/>
                <w14:textFill>
                  <w14:solidFill>
                    <w14:schemeClr w14:val="tx1"/>
                  </w14:solidFill>
                </w14:textFill>
              </w:rPr>
              <w:t>及时在讨论组中反馈，未按时加入开标会议区并完成登录操作的或未能在开标会议区内全程参与交互的，视为放弃交互和放弃对谈判及评审全过程提疑的权利，供应商将无法看到唱标等实时情况，并承担由此导致的一切后果；</w:t>
            </w:r>
          </w:p>
          <w:p w14:paraId="10C5B301">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2.</w:t>
            </w:r>
            <w:r>
              <w:rPr>
                <w:rFonts w:hAnsiTheme="minorEastAsia" w:eastAsiaTheme="minorEastAsia"/>
                <w:color w:val="000000" w:themeColor="text1"/>
                <w:szCs w:val="21"/>
                <w:highlight w:val="none"/>
                <w14:textFill>
                  <w14:solidFill>
                    <w14:schemeClr w14:val="tx1"/>
                  </w14:solidFill>
                </w14:textFill>
              </w:rPr>
              <w:t>响应文件公布、评审全过程中，各供应商参与远程交互的授权委托人应始终为同一个人，中途不得更换，在异议提出等特殊情况下需要交互时，供应商参与交互的人员将均被视为是供应商的授权委托人，供应商自行承担随意更换人员所导致的一切后果。</w:t>
            </w:r>
          </w:p>
          <w:p w14:paraId="2D1FB687">
            <w:pPr>
              <w:keepNext w:val="0"/>
              <w:keepLines/>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3</w:t>
            </w:r>
            <w:r>
              <w:rPr>
                <w:rFonts w:hAnsiTheme="minorEastAsia" w:eastAsiaTheme="minorEastAsia"/>
                <w:color w:val="000000" w:themeColor="text1"/>
                <w:szCs w:val="21"/>
                <w:highlight w:val="none"/>
                <w14:textFill>
                  <w14:solidFill>
                    <w14:schemeClr w14:val="tx1"/>
                  </w14:solidFill>
                </w14:textFill>
              </w:rPr>
              <w:t>.如遇系统原因导致交易不能进行的，采购人将及时采用电话方式联系供应商进行报价。采购过程中遇到系统操作及技术问题，请联系：</w:t>
            </w:r>
            <w:r>
              <w:rPr>
                <w:b w:val="0"/>
                <w:bCs/>
                <w:szCs w:val="21"/>
                <w:highlight w:val="none"/>
              </w:rPr>
              <w:t>183-5282-9895</w:t>
            </w:r>
            <w:r>
              <w:rPr>
                <w:rFonts w:hAnsiTheme="minorEastAsia" w:eastAsiaTheme="minorEastAsia"/>
                <w:color w:val="000000" w:themeColor="text1"/>
                <w:szCs w:val="21"/>
                <w:highlight w:val="none"/>
                <w14:textFill>
                  <w14:solidFill>
                    <w14:schemeClr w14:val="tx1"/>
                  </w14:solidFill>
                </w14:textFill>
              </w:rPr>
              <w:t>。</w:t>
            </w:r>
          </w:p>
        </w:tc>
      </w:tr>
    </w:tbl>
    <w:p w14:paraId="0DA59CB7">
      <w:pPr>
        <w:widowControl/>
        <w:ind w:firstLine="480"/>
        <w:jc w:val="left"/>
        <w:rPr>
          <w:rFonts w:eastAsiaTheme="minorEastAsia"/>
          <w:b/>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br w:type="page"/>
      </w:r>
    </w:p>
    <w:p w14:paraId="5A4297EE">
      <w:pPr>
        <w:pStyle w:val="3"/>
        <w:spacing w:before="0" w:after="0" w:line="400" w:lineRule="exact"/>
        <w:ind w:firstLine="0" w:firstLineChars="0"/>
        <w:jc w:val="center"/>
        <w:rPr>
          <w:rFonts w:ascii="Times New Roman" w:hAnsi="Times New Roman" w:eastAsiaTheme="minorEastAsia"/>
          <w:color w:val="000000" w:themeColor="text1"/>
          <w:sz w:val="24"/>
          <w:szCs w:val="24"/>
          <w:highlight w:val="none"/>
          <w14:textFill>
            <w14:solidFill>
              <w14:schemeClr w14:val="tx1"/>
            </w14:solidFill>
          </w14:textFill>
        </w:rPr>
      </w:pPr>
      <w:bookmarkStart w:id="19" w:name="_Toc4798"/>
      <w:r>
        <w:rPr>
          <w:rFonts w:hint="eastAsia" w:ascii="Times New Roman" w:hAnsi="Times New Roman" w:eastAsiaTheme="minorEastAsia"/>
          <w:color w:val="000000" w:themeColor="text1"/>
          <w:sz w:val="30"/>
          <w:szCs w:val="30"/>
          <w:highlight w:val="none"/>
          <w14:textFill>
            <w14:solidFill>
              <w14:schemeClr w14:val="tx1"/>
            </w14:solidFill>
          </w14:textFill>
        </w:rPr>
        <w:t>供应商须知</w:t>
      </w:r>
      <w:bookmarkEnd w:id="19"/>
    </w:p>
    <w:p w14:paraId="1730C344">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20" w:name="_Toc19847"/>
      <w:r>
        <w:rPr>
          <w:rFonts w:ascii="Times New Roman" w:hAnsi="Times New Roman" w:eastAsiaTheme="minorEastAsia"/>
          <w:color w:val="000000" w:themeColor="text1"/>
          <w:sz w:val="21"/>
          <w:szCs w:val="21"/>
          <w:highlight w:val="none"/>
          <w14:textFill>
            <w14:solidFill>
              <w14:schemeClr w14:val="tx1"/>
            </w14:solidFill>
          </w14:textFill>
        </w:rPr>
        <w:t>一、总则</w:t>
      </w:r>
      <w:bookmarkEnd w:id="20"/>
    </w:p>
    <w:p w14:paraId="0472400E">
      <w:pPr>
        <w:spacing w:line="360" w:lineRule="exact"/>
        <w:ind w:firstLine="0" w:firstLineChars="0"/>
        <w:rPr>
          <w:rFonts w:eastAsiaTheme="minorEastAsia"/>
          <w:b/>
          <w:color w:val="000000" w:themeColor="text1"/>
          <w:szCs w:val="21"/>
          <w:highlight w:val="none"/>
          <w14:textFill>
            <w14:solidFill>
              <w14:schemeClr w14:val="tx1"/>
            </w14:solidFill>
          </w14:textFill>
        </w:rPr>
      </w:pPr>
      <w:bookmarkStart w:id="21" w:name="_Toc512009286"/>
      <w:bookmarkStart w:id="22" w:name="_Toc511655698"/>
      <w:bookmarkStart w:id="23" w:name="_Toc520410573"/>
      <w:bookmarkStart w:id="24" w:name="_Toc389065146"/>
      <w:r>
        <w:rPr>
          <w:rFonts w:eastAsiaTheme="minorEastAsia"/>
          <w:b/>
          <w:color w:val="000000" w:themeColor="text1"/>
          <w:szCs w:val="21"/>
          <w:highlight w:val="none"/>
          <w14:textFill>
            <w14:solidFill>
              <w14:schemeClr w14:val="tx1"/>
            </w14:solidFill>
          </w14:textFill>
        </w:rPr>
        <w:t>1.1 项目概况</w:t>
      </w:r>
      <w:bookmarkEnd w:id="21"/>
      <w:bookmarkEnd w:id="22"/>
    </w:p>
    <w:p w14:paraId="63ABD2AB">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1.1.1</w:t>
      </w:r>
      <w:r>
        <w:rPr>
          <w:rFonts w:hint="eastAsia" w:eastAsiaTheme="minorEastAsia"/>
          <w:color w:val="000000" w:themeColor="text1"/>
          <w:szCs w:val="21"/>
          <w:highlight w:val="none"/>
          <w:lang w:val="en-US" w:eastAsia="zh-CN"/>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本项目采购人：见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120F4045">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1.1.</w:t>
      </w:r>
      <w:r>
        <w:rPr>
          <w:rFonts w:hint="eastAsia" w:eastAsiaTheme="minorEastAsia"/>
          <w:color w:val="000000" w:themeColor="text1"/>
          <w:szCs w:val="21"/>
          <w:highlight w:val="none"/>
          <w:lang w:val="en-US" w:eastAsia="zh-CN"/>
          <w14:textFill>
            <w14:solidFill>
              <w14:schemeClr w14:val="tx1"/>
            </w14:solidFill>
          </w14:textFill>
        </w:rPr>
        <w:t>2</w:t>
      </w:r>
      <w:r>
        <w:rPr>
          <w:rFonts w:eastAsiaTheme="minorEastAsia"/>
          <w:color w:val="000000" w:themeColor="text1"/>
          <w:szCs w:val="21"/>
          <w:highlight w:val="none"/>
          <w14:textFill>
            <w14:solidFill>
              <w14:schemeClr w14:val="tx1"/>
            </w14:solidFill>
          </w14:textFill>
        </w:rPr>
        <w:t xml:space="preserve"> 本项目名称：见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40EC7A2F">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1.1.</w:t>
      </w:r>
      <w:r>
        <w:rPr>
          <w:rFonts w:hint="eastAsia" w:eastAsiaTheme="minorEastAsia"/>
          <w:color w:val="000000" w:themeColor="text1"/>
          <w:szCs w:val="21"/>
          <w:highlight w:val="none"/>
          <w:lang w:val="en-US" w:eastAsia="zh-CN"/>
          <w14:textFill>
            <w14:solidFill>
              <w14:schemeClr w14:val="tx1"/>
            </w14:solidFill>
          </w14:textFill>
        </w:rPr>
        <w:t>3</w:t>
      </w:r>
      <w:r>
        <w:rPr>
          <w:rFonts w:eastAsiaTheme="minorEastAsia"/>
          <w:color w:val="000000" w:themeColor="text1"/>
          <w:szCs w:val="21"/>
          <w:highlight w:val="none"/>
          <w14:textFill>
            <w14:solidFill>
              <w14:schemeClr w14:val="tx1"/>
            </w14:solidFill>
          </w14:textFill>
        </w:rPr>
        <w:t xml:space="preserve"> 本项目建设地点：见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066DB8B3">
      <w:pPr>
        <w:spacing w:line="360" w:lineRule="exact"/>
        <w:ind w:firstLine="0" w:firstLineChars="0"/>
        <w:rPr>
          <w:rFonts w:eastAsiaTheme="minorEastAsia"/>
          <w:b/>
          <w:color w:val="000000" w:themeColor="text1"/>
          <w:szCs w:val="21"/>
          <w:highlight w:val="none"/>
          <w14:textFill>
            <w14:solidFill>
              <w14:schemeClr w14:val="tx1"/>
            </w14:solidFill>
          </w14:textFill>
        </w:rPr>
      </w:pPr>
      <w:bookmarkStart w:id="25" w:name="_Toc389065147"/>
      <w:bookmarkStart w:id="26" w:name="_Toc512009287"/>
      <w:bookmarkStart w:id="27" w:name="_Toc511655699"/>
      <w:r>
        <w:rPr>
          <w:rFonts w:eastAsiaTheme="minorEastAsia"/>
          <w:b/>
          <w:color w:val="000000" w:themeColor="text1"/>
          <w:szCs w:val="21"/>
          <w:highlight w:val="none"/>
          <w14:textFill>
            <w14:solidFill>
              <w14:schemeClr w14:val="tx1"/>
            </w14:solidFill>
          </w14:textFill>
        </w:rPr>
        <w:t>1.2 资金来源和落实情况</w:t>
      </w:r>
      <w:bookmarkEnd w:id="25"/>
      <w:bookmarkEnd w:id="26"/>
      <w:bookmarkEnd w:id="27"/>
    </w:p>
    <w:p w14:paraId="5BAA4BDA">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1.2.1 本项目的资金来源：见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7795F198">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1.2.2 本项目的出资比例：见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10BEB522">
      <w:pPr>
        <w:spacing w:line="360" w:lineRule="exact"/>
        <w:ind w:firstLine="420"/>
        <w:rPr>
          <w:rFonts w:hint="eastAsia" w:eastAsiaTheme="minorEastAsia"/>
          <w:color w:val="000000" w:themeColor="text1"/>
          <w:szCs w:val="21"/>
          <w:highlight w:val="none"/>
          <w:lang w:eastAsia="zh-CN"/>
          <w14:textFill>
            <w14:solidFill>
              <w14:schemeClr w14:val="tx1"/>
            </w14:solidFill>
          </w14:textFill>
        </w:rPr>
      </w:pPr>
      <w:r>
        <w:rPr>
          <w:rFonts w:eastAsiaTheme="minorEastAsia"/>
          <w:color w:val="000000" w:themeColor="text1"/>
          <w:szCs w:val="21"/>
          <w:highlight w:val="none"/>
          <w14:textFill>
            <w14:solidFill>
              <w14:schemeClr w14:val="tx1"/>
            </w14:solidFill>
          </w14:textFill>
        </w:rPr>
        <w:t>1.2.3 本项目的资金落实情况：见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p>
    <w:p w14:paraId="377FD6E8">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1.2.4 本项目的工程款支付方式：见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5606717C">
      <w:pPr>
        <w:spacing w:line="360" w:lineRule="exact"/>
        <w:ind w:firstLine="0" w:firstLineChars="0"/>
        <w:rPr>
          <w:rFonts w:eastAsiaTheme="minorEastAsia"/>
          <w:b/>
          <w:color w:val="000000" w:themeColor="text1"/>
          <w:szCs w:val="21"/>
          <w:highlight w:val="none"/>
          <w14:textFill>
            <w14:solidFill>
              <w14:schemeClr w14:val="tx1"/>
            </w14:solidFill>
          </w14:textFill>
        </w:rPr>
      </w:pPr>
      <w:bookmarkStart w:id="28" w:name="_Toc512009288"/>
      <w:bookmarkStart w:id="29" w:name="_Toc511655700"/>
      <w:r>
        <w:rPr>
          <w:rFonts w:eastAsiaTheme="minorEastAsia"/>
          <w:b/>
          <w:color w:val="000000" w:themeColor="text1"/>
          <w:szCs w:val="21"/>
          <w:highlight w:val="none"/>
          <w14:textFill>
            <w14:solidFill>
              <w14:schemeClr w14:val="tx1"/>
            </w14:solidFill>
          </w14:textFill>
        </w:rPr>
        <w:t>1.3 采购范围、计划工期和质量要求</w:t>
      </w:r>
      <w:bookmarkEnd w:id="28"/>
      <w:bookmarkEnd w:id="29"/>
    </w:p>
    <w:p w14:paraId="673EB927">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1.3.1 本项目采购范围：见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3AC6AC53">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1.3.2 本项目工期要求：见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05357C40">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1.3.3 本项目质量要求：见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0CE6E553">
      <w:pPr>
        <w:spacing w:line="360" w:lineRule="exact"/>
        <w:ind w:firstLine="0" w:firstLineChars="0"/>
        <w:rPr>
          <w:rFonts w:eastAsiaTheme="minorEastAsia"/>
          <w:b/>
          <w:color w:val="000000" w:themeColor="text1"/>
          <w:szCs w:val="21"/>
          <w:highlight w:val="none"/>
          <w14:textFill>
            <w14:solidFill>
              <w14:schemeClr w14:val="tx1"/>
            </w14:solidFill>
          </w14:textFill>
        </w:rPr>
      </w:pPr>
      <w:bookmarkStart w:id="30" w:name="_Toc512009289"/>
      <w:bookmarkStart w:id="31" w:name="_Toc511655701"/>
      <w:r>
        <w:rPr>
          <w:rFonts w:eastAsiaTheme="minorEastAsia"/>
          <w:b/>
          <w:color w:val="000000" w:themeColor="text1"/>
          <w:szCs w:val="21"/>
          <w:highlight w:val="none"/>
          <w14:textFill>
            <w14:solidFill>
              <w14:schemeClr w14:val="tx1"/>
            </w14:solidFill>
          </w14:textFill>
        </w:rPr>
        <w:t>1.4 供应商资格要求</w:t>
      </w:r>
      <w:bookmarkEnd w:id="30"/>
      <w:bookmarkEnd w:id="31"/>
    </w:p>
    <w:p w14:paraId="41197D66">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1.4.1 供应商应具备承担本项目施工的资格要求，见谈判公告。</w:t>
      </w:r>
    </w:p>
    <w:p w14:paraId="255951A7">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1.4.2 </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规定接受联合体参与谈判的，除应符合本章第1.4.1项和</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的要求外，还应遵守以下规定：</w:t>
      </w:r>
    </w:p>
    <w:p w14:paraId="10BC7EE9">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（1）联合体各方应按谈判文件提供的格式签订联合体协议书，明确联合体牵头人和各方权利义务；</w:t>
      </w:r>
    </w:p>
    <w:p w14:paraId="7EFA09F9">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（2）联合体各成员单位应当具备与联合体协议中约定的分工相适应的资质和能力；</w:t>
      </w:r>
    </w:p>
    <w:p w14:paraId="3283D608">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（3）联合体各方不得再以自己名义单独或参加其他联合体参与同一采购项目谈判活动；</w:t>
      </w:r>
    </w:p>
    <w:p w14:paraId="572DF31E">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（4）联合体各方必须指定牵头人，授权其代表所有联合体成员负责参与谈判和合同实施阶段的主办、协调工作，并应当向采购人提交由所有联合体成员法定代表人签署的授权书；</w:t>
      </w:r>
    </w:p>
    <w:p w14:paraId="346B7816">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（5）采购人要求供应商提交谈判保证担保的，应当以联合体各方或者联合体中牵头人的名义提交谈判保证担保。以联合体中牵头人名义提交的谈判保证担保，对联合体各成员具有约束力。</w:t>
      </w:r>
    </w:p>
    <w:p w14:paraId="25ECD054">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1.4.3 供应商不得存在下列情形之一：</w:t>
      </w:r>
    </w:p>
    <w:p w14:paraId="61B0062E">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（1）为采购人不具有独立法人资格的附属机构（单位）；</w:t>
      </w:r>
    </w:p>
    <w:p w14:paraId="275DB42C">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（2）为本项目的监理人、代建人、项目管理人，以及为本项目提供采购代理、设计服务的；</w:t>
      </w:r>
    </w:p>
    <w:p w14:paraId="48BF7FC9">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（3）与本项目的监理人、代建人、采购代理机构同为一个法定代表人的，或者相互控股、参股的；</w:t>
      </w:r>
    </w:p>
    <w:p w14:paraId="39B9650B">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（4）与采购人存在利害关系可能影响采购公正性的；</w:t>
      </w:r>
    </w:p>
    <w:p w14:paraId="3C82F7BF">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（5）单位负责人为同一人或者存在控股、管理关系的；</w:t>
      </w:r>
    </w:p>
    <w:p w14:paraId="2C225884">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（6）存在同一人直接关联任职股东或高管（董事长、总经理、董事、监事）的；</w:t>
      </w:r>
    </w:p>
    <w:p w14:paraId="3393742A">
      <w:pPr>
        <w:spacing w:line="360" w:lineRule="exact"/>
        <w:ind w:firstLine="420"/>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（7）处于被责令停业、财产被接管、冻结和破产状态，以及投标（供应商）资格被取消或者被暂停且在暂停期内；</w:t>
      </w:r>
    </w:p>
    <w:p w14:paraId="6FD76747">
      <w:pPr>
        <w:spacing w:line="360" w:lineRule="exact"/>
        <w:ind w:firstLine="420"/>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（8）因拖欠工人工资或者发生质量安全事故被有关部门限制在采购项目所在地承接工程的</w:t>
      </w:r>
      <w:r>
        <w:rPr>
          <w:rFonts w:hint="eastAsia" w:eastAsiaTheme="minorEastAsia"/>
          <w:color w:val="000000" w:themeColor="text1"/>
          <w:szCs w:val="21"/>
          <w:highlight w:val="none"/>
          <w:lang w:eastAsia="zh-CN"/>
          <w14:textFill>
            <w14:solidFill>
              <w14:schemeClr w14:val="tx1"/>
            </w14:solidFill>
          </w14:textFill>
        </w:rPr>
        <w:t>。</w:t>
      </w:r>
    </w:p>
    <w:bookmarkEnd w:id="23"/>
    <w:bookmarkEnd w:id="24"/>
    <w:p w14:paraId="408633FE">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32" w:name="_Toc520410576"/>
      <w:bookmarkStart w:id="33" w:name="_Toc389065150"/>
      <w:r>
        <w:rPr>
          <w:rFonts w:eastAsiaTheme="minorEastAsia"/>
          <w:b/>
          <w:bCs/>
          <w:color w:val="000000" w:themeColor="text1"/>
          <w:szCs w:val="21"/>
          <w:highlight w:val="none"/>
          <w14:textFill>
            <w14:solidFill>
              <w14:schemeClr w14:val="tx1"/>
            </w14:solidFill>
          </w14:textFill>
        </w:rPr>
        <w:t>1.5费用承担</w:t>
      </w:r>
      <w:bookmarkEnd w:id="32"/>
      <w:bookmarkEnd w:id="33"/>
    </w:p>
    <w:p w14:paraId="3933C7F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供应商应承担其编制响应文件以及递交响应文件过程中所涉及的一切费用，无论谈判结果如何，采购人对上述费用不负任何责任。</w:t>
      </w:r>
    </w:p>
    <w:p w14:paraId="4B1EFF3E">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34" w:name="_Toc520410577"/>
      <w:bookmarkStart w:id="35" w:name="_Toc389065151"/>
      <w:r>
        <w:rPr>
          <w:rFonts w:eastAsiaTheme="minorEastAsia"/>
          <w:b/>
          <w:bCs/>
          <w:color w:val="000000" w:themeColor="text1"/>
          <w:szCs w:val="21"/>
          <w:highlight w:val="none"/>
          <w14:textFill>
            <w14:solidFill>
              <w14:schemeClr w14:val="tx1"/>
            </w14:solidFill>
          </w14:textFill>
        </w:rPr>
        <w:t>1.6保密</w:t>
      </w:r>
      <w:bookmarkEnd w:id="34"/>
      <w:bookmarkEnd w:id="35"/>
    </w:p>
    <w:p w14:paraId="530D1A7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758534D5">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36" w:name="_Toc389065152"/>
      <w:bookmarkStart w:id="37" w:name="_Toc520410578"/>
      <w:r>
        <w:rPr>
          <w:rFonts w:eastAsiaTheme="minorEastAsia"/>
          <w:b/>
          <w:bCs/>
          <w:color w:val="000000" w:themeColor="text1"/>
          <w:szCs w:val="21"/>
          <w:highlight w:val="none"/>
          <w14:textFill>
            <w14:solidFill>
              <w14:schemeClr w14:val="tx1"/>
            </w14:solidFill>
          </w14:textFill>
        </w:rPr>
        <w:t>1.7语言文字</w:t>
      </w:r>
      <w:bookmarkEnd w:id="36"/>
      <w:bookmarkEnd w:id="37"/>
    </w:p>
    <w:p w14:paraId="32CA43A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除专用术语外，与谈判有关的语言均使用中文，必要时专用术语应附有中文注释。</w:t>
      </w:r>
    </w:p>
    <w:p w14:paraId="2FD43945">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38" w:name="_Toc389065153"/>
      <w:bookmarkStart w:id="39" w:name="_Toc520410579"/>
      <w:r>
        <w:rPr>
          <w:rFonts w:eastAsiaTheme="minorEastAsia"/>
          <w:b/>
          <w:bCs/>
          <w:color w:val="000000" w:themeColor="text1"/>
          <w:szCs w:val="21"/>
          <w:highlight w:val="none"/>
          <w14:textFill>
            <w14:solidFill>
              <w14:schemeClr w14:val="tx1"/>
            </w14:solidFill>
          </w14:textFill>
        </w:rPr>
        <w:t>1.8计量单位</w:t>
      </w:r>
      <w:bookmarkEnd w:id="38"/>
      <w:bookmarkEnd w:id="39"/>
    </w:p>
    <w:p w14:paraId="7263A6BF">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所有计量均采用中华人民共和国法定计量单位。</w:t>
      </w:r>
    </w:p>
    <w:p w14:paraId="34DDB9B0">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40" w:name="_Toc389065154"/>
      <w:bookmarkStart w:id="41" w:name="_Toc520410580"/>
      <w:r>
        <w:rPr>
          <w:rFonts w:eastAsiaTheme="minorEastAsia"/>
          <w:b/>
          <w:bCs/>
          <w:color w:val="000000" w:themeColor="text1"/>
          <w:szCs w:val="21"/>
          <w:highlight w:val="none"/>
          <w14:textFill>
            <w14:solidFill>
              <w14:schemeClr w14:val="tx1"/>
            </w14:solidFill>
          </w14:textFill>
        </w:rPr>
        <w:t>1.9踏勘现场</w:t>
      </w:r>
      <w:bookmarkEnd w:id="40"/>
      <w:bookmarkEnd w:id="41"/>
    </w:p>
    <w:p w14:paraId="29C261B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1.9.1供应商根据需要自行踏勘项目现场。</w:t>
      </w:r>
    </w:p>
    <w:p w14:paraId="6D2E325F">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1.9.2 供应商踏勘现场发生的费用自理。</w:t>
      </w:r>
    </w:p>
    <w:p w14:paraId="0FB3048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1.9.3 供应商自行负责在踏勘现场中所发生的人员伤亡和财产损失。</w:t>
      </w:r>
    </w:p>
    <w:p w14:paraId="0AEDDC8B">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42" w:name="_Toc520410581"/>
      <w:bookmarkStart w:id="43" w:name="_Toc389065156"/>
      <w:r>
        <w:rPr>
          <w:rFonts w:eastAsiaTheme="minorEastAsia"/>
          <w:b/>
          <w:bCs/>
          <w:color w:val="000000" w:themeColor="text1"/>
          <w:szCs w:val="21"/>
          <w:highlight w:val="none"/>
          <w14:textFill>
            <w14:solidFill>
              <w14:schemeClr w14:val="tx1"/>
            </w14:solidFill>
          </w14:textFill>
        </w:rPr>
        <w:t>1.10分包</w:t>
      </w:r>
      <w:bookmarkEnd w:id="42"/>
      <w:bookmarkEnd w:id="43"/>
    </w:p>
    <w:p w14:paraId="329FCB2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本项目成交后分包需经采购人书面同意。</w:t>
      </w:r>
    </w:p>
    <w:p w14:paraId="24954109">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44" w:name="_Toc389065198"/>
      <w:bookmarkStart w:id="45" w:name="_Toc520410582"/>
      <w:r>
        <w:rPr>
          <w:rFonts w:eastAsiaTheme="minorEastAsia"/>
          <w:b/>
          <w:bCs/>
          <w:color w:val="000000" w:themeColor="text1"/>
          <w:szCs w:val="21"/>
          <w:highlight w:val="none"/>
          <w14:textFill>
            <w14:solidFill>
              <w14:schemeClr w14:val="tx1"/>
            </w14:solidFill>
          </w14:textFill>
        </w:rPr>
        <w:t>1.11知识产权</w:t>
      </w:r>
      <w:bookmarkEnd w:id="44"/>
      <w:bookmarkEnd w:id="45"/>
    </w:p>
    <w:p w14:paraId="39EDEF52">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1B5583C2">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46" w:name="_Toc15470"/>
      <w:bookmarkStart w:id="47" w:name="_Toc520410583"/>
      <w:r>
        <w:rPr>
          <w:rFonts w:ascii="Times New Roman" w:hAnsi="Times New Roman" w:eastAsiaTheme="minorEastAsia"/>
          <w:color w:val="000000" w:themeColor="text1"/>
          <w:sz w:val="21"/>
          <w:szCs w:val="21"/>
          <w:highlight w:val="none"/>
          <w14:textFill>
            <w14:solidFill>
              <w14:schemeClr w14:val="tx1"/>
            </w14:solidFill>
          </w14:textFill>
        </w:rPr>
        <w:t>二、谈判文件</w:t>
      </w:r>
      <w:bookmarkEnd w:id="46"/>
      <w:bookmarkEnd w:id="47"/>
    </w:p>
    <w:p w14:paraId="52424816">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48" w:name="_Toc389065159"/>
      <w:bookmarkStart w:id="49" w:name="_Toc520410584"/>
      <w:r>
        <w:rPr>
          <w:rFonts w:eastAsiaTheme="minorEastAsia"/>
          <w:b/>
          <w:bCs/>
          <w:color w:val="000000" w:themeColor="text1"/>
          <w:szCs w:val="21"/>
          <w:highlight w:val="none"/>
          <w14:textFill>
            <w14:solidFill>
              <w14:schemeClr w14:val="tx1"/>
            </w14:solidFill>
          </w14:textFill>
        </w:rPr>
        <w:t>2.1谈判文件的组成</w:t>
      </w:r>
      <w:bookmarkEnd w:id="48"/>
      <w:bookmarkEnd w:id="49"/>
    </w:p>
    <w:p w14:paraId="08F91AD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2.1.1本谈判文件包括：</w:t>
      </w:r>
    </w:p>
    <w:p w14:paraId="229F7F2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w:t>
      </w:r>
      <w:r>
        <w:rPr>
          <w:rFonts w:hint="eastAsia" w:eastAsiaTheme="minorEastAsia"/>
          <w:color w:val="000000" w:themeColor="text1"/>
          <w:szCs w:val="21"/>
          <w:highlight w:val="none"/>
          <w:lang w:eastAsia="zh-CN"/>
          <w14:textFill>
            <w14:solidFill>
              <w14:schemeClr w14:val="tx1"/>
            </w14:solidFill>
          </w14:textFill>
        </w:rPr>
        <w:t>邀请竞争性谈判</w:t>
      </w:r>
      <w:r>
        <w:rPr>
          <w:rFonts w:hint="eastAsia" w:eastAsiaTheme="minorEastAsia"/>
          <w:color w:val="000000" w:themeColor="text1"/>
          <w:szCs w:val="21"/>
          <w:highlight w:val="none"/>
          <w:lang w:val="en-US" w:eastAsia="zh-CN"/>
          <w14:textFill>
            <w14:solidFill>
              <w14:schemeClr w14:val="tx1"/>
            </w14:solidFill>
          </w14:textFill>
        </w:rPr>
        <w:t>公告</w:t>
      </w:r>
      <w:r>
        <w:rPr>
          <w:rFonts w:eastAsiaTheme="minorEastAsia"/>
          <w:color w:val="000000" w:themeColor="text1"/>
          <w:szCs w:val="21"/>
          <w:highlight w:val="none"/>
          <w14:textFill>
            <w14:solidFill>
              <w14:schemeClr w14:val="tx1"/>
            </w14:solidFill>
          </w14:textFill>
        </w:rPr>
        <w:t>；</w:t>
      </w:r>
    </w:p>
    <w:p w14:paraId="488F199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（2）供应商须知；</w:t>
      </w:r>
    </w:p>
    <w:p w14:paraId="39063ABD">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（3）评审办法；</w:t>
      </w:r>
    </w:p>
    <w:p w14:paraId="4B5EA75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（4）合同条款及格式；</w:t>
      </w:r>
    </w:p>
    <w:p w14:paraId="521C4422">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w:t>
      </w:r>
      <w:r>
        <w:rPr>
          <w:rFonts w:hint="eastAsia" w:eastAsiaTheme="minorEastAsia"/>
          <w:color w:val="000000" w:themeColor="text1"/>
          <w:szCs w:val="21"/>
          <w:highlight w:val="none"/>
          <w:lang w:eastAsia="zh-CN"/>
          <w14:textFill>
            <w14:solidFill>
              <w14:schemeClr w14:val="tx1"/>
            </w14:solidFill>
          </w14:textFill>
        </w:rPr>
        <w:t>报价清单</w:t>
      </w:r>
      <w:r>
        <w:rPr>
          <w:rFonts w:eastAsiaTheme="minorEastAsia"/>
          <w:color w:val="000000" w:themeColor="text1"/>
          <w:szCs w:val="21"/>
          <w:highlight w:val="none"/>
          <w14:textFill>
            <w14:solidFill>
              <w14:schemeClr w14:val="tx1"/>
            </w14:solidFill>
          </w14:textFill>
        </w:rPr>
        <w:t>；</w:t>
      </w:r>
    </w:p>
    <w:p w14:paraId="5B1D02CD">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（6）响应文件格式；</w:t>
      </w:r>
    </w:p>
    <w:p w14:paraId="50A48E7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（7）</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规定的其他材料。</w:t>
      </w:r>
    </w:p>
    <w:p w14:paraId="3E6266A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2.1.2根据本章第2.2款和第2.3款对谈判文件所</w:t>
      </w:r>
      <w:r>
        <w:rPr>
          <w:rFonts w:hint="eastAsia" w:eastAsiaTheme="minorEastAsia"/>
          <w:color w:val="000000" w:themeColor="text1"/>
          <w:szCs w:val="21"/>
          <w:highlight w:val="none"/>
          <w:lang w:eastAsia="zh-CN"/>
          <w14:textFill>
            <w14:solidFill>
              <w14:schemeClr w14:val="tx1"/>
            </w14:solidFill>
          </w14:textFill>
        </w:rPr>
        <w:t>做</w:t>
      </w:r>
      <w:r>
        <w:rPr>
          <w:rFonts w:eastAsiaTheme="minorEastAsia"/>
          <w:color w:val="000000" w:themeColor="text1"/>
          <w:szCs w:val="21"/>
          <w:highlight w:val="none"/>
          <w14:textFill>
            <w14:solidFill>
              <w14:schemeClr w14:val="tx1"/>
            </w14:solidFill>
          </w14:textFill>
        </w:rPr>
        <w:t>的澄清、修改，构成谈判文件的组成部分。谈判文件的澄清、修改内容前后相互矛盾时，以发布时间在后的文件为准。</w:t>
      </w:r>
    </w:p>
    <w:p w14:paraId="2CA565D0">
      <w:pPr>
        <w:pStyle w:val="360"/>
        <w:rPr>
          <w:rFonts w:hint="default"/>
          <w:highlight w:val="none"/>
        </w:rPr>
      </w:pPr>
      <w:r>
        <w:rPr>
          <w:rFonts w:hint="default"/>
          <w:highlight w:val="none"/>
        </w:rPr>
        <w:t>2.1.3 响应文件及报价唯一：只能有一个响应文件及有效报价（谈判文件要求提交备选响应文件的除外）。</w:t>
      </w:r>
    </w:p>
    <w:p w14:paraId="2537009C">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50" w:name="_Toc520410585"/>
      <w:bookmarkStart w:id="51" w:name="_Toc389065160"/>
      <w:r>
        <w:rPr>
          <w:rFonts w:eastAsiaTheme="minorEastAsia"/>
          <w:b/>
          <w:bCs/>
          <w:color w:val="000000" w:themeColor="text1"/>
          <w:szCs w:val="21"/>
          <w:highlight w:val="none"/>
          <w14:textFill>
            <w14:solidFill>
              <w14:schemeClr w14:val="tx1"/>
            </w14:solidFill>
          </w14:textFill>
        </w:rPr>
        <w:t>2.2 谈判文件的澄清</w:t>
      </w:r>
      <w:bookmarkEnd w:id="50"/>
      <w:bookmarkEnd w:id="51"/>
    </w:p>
    <w:p w14:paraId="5A5D49E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2.2.1供应商应仔细阅读和检查谈判文件的全部内容，供应商如有疑问，应在响应文件递交截止时间2日前向采购人提出,供应商不在澄清期限内提出，采购人有权不予答复。</w:t>
      </w:r>
    </w:p>
    <w:p w14:paraId="699F52B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2.2.2澄清的内容可能影响响应文件编制的，可根据实际情况适当延迟递交响应文件的截止时间。</w:t>
      </w:r>
    </w:p>
    <w:p w14:paraId="47123BD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2.2.3</w:t>
      </w:r>
      <w:r>
        <w:rPr>
          <w:szCs w:val="21"/>
          <w:highlight w:val="none"/>
        </w:rPr>
        <w:t>供应商</w:t>
      </w:r>
      <w:r>
        <w:rPr>
          <w:rFonts w:hint="eastAsia"/>
          <w:szCs w:val="21"/>
          <w:highlight w:val="none"/>
        </w:rPr>
        <w:t>应在</w:t>
      </w:r>
      <w:r>
        <w:rPr>
          <w:szCs w:val="21"/>
          <w:highlight w:val="none"/>
        </w:rPr>
        <w:t>递交响应文件的</w:t>
      </w:r>
      <w:r>
        <w:rPr>
          <w:rFonts w:hint="eastAsia"/>
          <w:szCs w:val="21"/>
          <w:highlight w:val="none"/>
        </w:rPr>
        <w:t>截止时间前随时查看“</w:t>
      </w:r>
      <w:r>
        <w:rPr>
          <w:rFonts w:hint="eastAsia"/>
          <w:szCs w:val="21"/>
          <w:highlight w:val="none"/>
          <w:lang w:val="en-US" w:eastAsia="zh-CN"/>
        </w:rPr>
        <w:t>方洋集团物资采购平台”</w:t>
      </w:r>
      <w:r>
        <w:rPr>
          <w:rFonts w:hint="eastAsia"/>
          <w:szCs w:val="21"/>
          <w:highlight w:val="none"/>
        </w:rPr>
        <w:t>中有关该</w:t>
      </w:r>
      <w:r>
        <w:rPr>
          <w:rFonts w:hint="eastAsia"/>
          <w:szCs w:val="21"/>
          <w:highlight w:val="none"/>
          <w:lang w:eastAsia="zh-CN"/>
        </w:rPr>
        <w:t>谈判</w:t>
      </w:r>
      <w:r>
        <w:rPr>
          <w:szCs w:val="21"/>
          <w:highlight w:val="none"/>
        </w:rPr>
        <w:t>文件</w:t>
      </w:r>
      <w:r>
        <w:rPr>
          <w:rFonts w:hint="eastAsia"/>
          <w:szCs w:val="21"/>
          <w:highlight w:val="none"/>
        </w:rPr>
        <w:t>的澄清答疑内容。</w:t>
      </w:r>
      <w:r>
        <w:rPr>
          <w:rFonts w:eastAsiaTheme="minorEastAsia"/>
          <w:color w:val="000000" w:themeColor="text1"/>
          <w:szCs w:val="21"/>
          <w:highlight w:val="none"/>
          <w14:textFill>
            <w14:solidFill>
              <w14:schemeClr w14:val="tx1"/>
            </w14:solidFill>
          </w14:textFill>
        </w:rPr>
        <w:t>未按照澄清后的谈判文件编制响应文件，由此造成的后果由供应商自行承担。</w:t>
      </w:r>
    </w:p>
    <w:p w14:paraId="0B54195C">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52" w:name="_Toc389065161"/>
      <w:bookmarkStart w:id="53" w:name="_Toc520410586"/>
      <w:r>
        <w:rPr>
          <w:rFonts w:eastAsiaTheme="minorEastAsia"/>
          <w:b/>
          <w:bCs/>
          <w:color w:val="000000" w:themeColor="text1"/>
          <w:szCs w:val="21"/>
          <w:highlight w:val="none"/>
          <w14:textFill>
            <w14:solidFill>
              <w14:schemeClr w14:val="tx1"/>
            </w14:solidFill>
          </w14:textFill>
        </w:rPr>
        <w:t>2.3 谈判文件的修改</w:t>
      </w:r>
      <w:bookmarkEnd w:id="52"/>
      <w:bookmarkEnd w:id="53"/>
    </w:p>
    <w:p w14:paraId="5E47F21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2.3.1谈判文件发布后，采购人确需对谈判文件进行修改的，采购人将发布在</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eastAsiaTheme="minorEastAsia"/>
          <w:color w:val="000000" w:themeColor="text1"/>
          <w:szCs w:val="21"/>
          <w:highlight w:val="none"/>
          <w14:textFill>
            <w14:solidFill>
              <w14:schemeClr w14:val="tx1"/>
            </w14:solidFill>
          </w14:textFill>
        </w:rPr>
        <w:t>。</w:t>
      </w:r>
    </w:p>
    <w:p w14:paraId="429B768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2.3.2修改的内容可能影响响应文件编制的，可根据实际情况适当延迟递交响应文件的截止时间。</w:t>
      </w:r>
    </w:p>
    <w:p w14:paraId="701DFAF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2.3.3修改文件按本章第2.3.1款规定发出之时起，视为供应商已收到该修改文件。供应商未及时查阅谈判文件的修改，或未按照修改后的谈判文件编制响应文件，由此造成的后果由供应商自行承担。</w:t>
      </w:r>
    </w:p>
    <w:p w14:paraId="75644CC1">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54" w:name="_Toc520410587"/>
      <w:bookmarkStart w:id="55" w:name="_Toc473034303"/>
      <w:r>
        <w:rPr>
          <w:rFonts w:eastAsiaTheme="minorEastAsia"/>
          <w:b/>
          <w:bCs/>
          <w:color w:val="000000" w:themeColor="text1"/>
          <w:szCs w:val="21"/>
          <w:highlight w:val="none"/>
          <w14:textFill>
            <w14:solidFill>
              <w14:schemeClr w14:val="tx1"/>
            </w14:solidFill>
          </w14:textFill>
        </w:rPr>
        <w:t xml:space="preserve">2.4 </w:t>
      </w:r>
      <w:bookmarkEnd w:id="54"/>
      <w:bookmarkEnd w:id="55"/>
      <w:r>
        <w:rPr>
          <w:rFonts w:eastAsiaTheme="minorEastAsia"/>
          <w:b/>
          <w:bCs/>
          <w:color w:val="000000" w:themeColor="text1"/>
          <w:szCs w:val="21"/>
          <w:highlight w:val="none"/>
          <w14:textFill>
            <w14:solidFill>
              <w14:schemeClr w14:val="tx1"/>
            </w14:solidFill>
          </w14:textFill>
        </w:rPr>
        <w:t>采购控制价</w:t>
      </w:r>
    </w:p>
    <w:p w14:paraId="3DF3FAD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2.4.1采购控制价，是采购人根据国家或省级、行业主管部门颁发的有关计价依据和办法，以及采购内容的市场行情，结合采购项目具体情况编制的本次谈判的最高限价。</w:t>
      </w:r>
    </w:p>
    <w:p w14:paraId="5BF55B4B">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2.4.2本项目采购控制价见</w:t>
      </w:r>
      <w:r>
        <w:rPr>
          <w:rFonts w:hint="eastAsia" w:eastAsiaTheme="minorEastAsia"/>
          <w:color w:val="000000" w:themeColor="text1"/>
          <w:szCs w:val="21"/>
          <w:highlight w:val="none"/>
          <w:lang w:eastAsia="zh-CN"/>
          <w14:textFill>
            <w14:solidFill>
              <w14:schemeClr w14:val="tx1"/>
            </w14:solidFill>
          </w14:textFill>
        </w:rPr>
        <w:t>“邀请竞争性谈判</w:t>
      </w:r>
      <w:r>
        <w:rPr>
          <w:rFonts w:hint="eastAsia" w:eastAsiaTheme="minorEastAsia"/>
          <w:color w:val="000000" w:themeColor="text1"/>
          <w:szCs w:val="21"/>
          <w:highlight w:val="none"/>
          <w:lang w:val="en-US" w:eastAsia="zh-CN"/>
          <w14:textFill>
            <w14:solidFill>
              <w14:schemeClr w14:val="tx1"/>
            </w14:solidFill>
          </w14:textFill>
        </w:rPr>
        <w:t>公告</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。采购人确需对已发布的项目概算金额进行修改的，采购人将发布在</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eastAsiaTheme="minorEastAsia"/>
          <w:color w:val="000000" w:themeColor="text1"/>
          <w:szCs w:val="21"/>
          <w:highlight w:val="none"/>
          <w14:textFill>
            <w14:solidFill>
              <w14:schemeClr w14:val="tx1"/>
            </w14:solidFill>
          </w14:textFill>
        </w:rPr>
        <w:t>。</w:t>
      </w:r>
    </w:p>
    <w:p w14:paraId="28EA3E55">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56" w:name="_Toc7973"/>
      <w:bookmarkStart w:id="57" w:name="_Toc520410588"/>
      <w:bookmarkStart w:id="58" w:name="_Toc389065162"/>
      <w:r>
        <w:rPr>
          <w:rFonts w:ascii="Times New Roman" w:hAnsi="Times New Roman" w:eastAsiaTheme="minorEastAsia"/>
          <w:color w:val="000000" w:themeColor="text1"/>
          <w:sz w:val="21"/>
          <w:szCs w:val="21"/>
          <w:highlight w:val="none"/>
          <w14:textFill>
            <w14:solidFill>
              <w14:schemeClr w14:val="tx1"/>
            </w14:solidFill>
          </w14:textFill>
        </w:rPr>
        <w:t>三、响应文件</w:t>
      </w:r>
      <w:bookmarkEnd w:id="56"/>
      <w:bookmarkEnd w:id="57"/>
      <w:bookmarkEnd w:id="58"/>
    </w:p>
    <w:p w14:paraId="0540BC04">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59" w:name="_Toc389065163"/>
      <w:bookmarkStart w:id="60" w:name="_Toc520410589"/>
      <w:r>
        <w:rPr>
          <w:rFonts w:eastAsiaTheme="minorEastAsia"/>
          <w:b/>
          <w:bCs/>
          <w:color w:val="000000" w:themeColor="text1"/>
          <w:szCs w:val="21"/>
          <w:highlight w:val="none"/>
          <w14:textFill>
            <w14:solidFill>
              <w14:schemeClr w14:val="tx1"/>
            </w14:solidFill>
          </w14:textFill>
        </w:rPr>
        <w:t>3.1 响应文件的组成</w:t>
      </w:r>
      <w:bookmarkEnd w:id="59"/>
      <w:bookmarkEnd w:id="60"/>
    </w:p>
    <w:p w14:paraId="1E5F5726">
      <w:pPr>
        <w:spacing w:line="360" w:lineRule="exact"/>
        <w:ind w:firstLine="420"/>
        <w:jc w:val="left"/>
        <w:rPr>
          <w:rFonts w:eastAsiaTheme="minorEastAsia"/>
          <w:b/>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3.1.1响应文件组成见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402D9D5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3.1.2谈判文件</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第六章响应文件格式</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有规定格式要求的，供应商应按规定的格式填写并按要求提交相关的证明材料。</w:t>
      </w:r>
    </w:p>
    <w:p w14:paraId="17880770">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61" w:name="_Toc520410590"/>
      <w:bookmarkStart w:id="62" w:name="_Toc389065164"/>
      <w:r>
        <w:rPr>
          <w:rFonts w:eastAsiaTheme="minorEastAsia"/>
          <w:b/>
          <w:bCs/>
          <w:color w:val="000000" w:themeColor="text1"/>
          <w:szCs w:val="21"/>
          <w:highlight w:val="none"/>
          <w14:textFill>
            <w14:solidFill>
              <w14:schemeClr w14:val="tx1"/>
            </w14:solidFill>
          </w14:textFill>
        </w:rPr>
        <w:t>3.2 谈判报价</w:t>
      </w:r>
      <w:bookmarkEnd w:id="61"/>
      <w:bookmarkEnd w:id="62"/>
    </w:p>
    <w:p w14:paraId="16E7D7B2">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3.2.1本项目采用</w:t>
      </w:r>
      <w:r>
        <w:rPr>
          <w:rFonts w:eastAsiaTheme="minorEastAsia"/>
          <w:b/>
          <w:bCs/>
          <w:color w:val="000000" w:themeColor="text1"/>
          <w:szCs w:val="21"/>
          <w:highlight w:val="none"/>
          <w:u w:val="single"/>
          <w14:textFill>
            <w14:solidFill>
              <w14:schemeClr w14:val="tx1"/>
            </w14:solidFill>
          </w14:textFill>
        </w:rPr>
        <w:t xml:space="preserve"> </w:t>
      </w:r>
      <w:r>
        <w:rPr>
          <w:rFonts w:hint="eastAsia" w:eastAsiaTheme="minorEastAsia"/>
          <w:b/>
          <w:bCs/>
          <w:color w:val="000000" w:themeColor="text1"/>
          <w:szCs w:val="21"/>
          <w:highlight w:val="none"/>
          <w:u w:val="single"/>
          <w:lang w:val="en-US" w:eastAsia="zh-CN"/>
          <w14:textFill>
            <w14:solidFill>
              <w14:schemeClr w14:val="tx1"/>
            </w14:solidFill>
          </w14:textFill>
        </w:rPr>
        <w:t>全费用固定综合单价</w:t>
      </w:r>
      <w:r>
        <w:rPr>
          <w:rFonts w:eastAsiaTheme="minorEastAsia"/>
          <w:b/>
          <w:bCs/>
          <w:color w:val="000000" w:themeColor="text1"/>
          <w:szCs w:val="21"/>
          <w:highlight w:val="none"/>
          <w:u w:val="single"/>
          <w14:textFill>
            <w14:solidFill>
              <w14:schemeClr w14:val="tx1"/>
            </w14:solidFill>
          </w14:textFill>
        </w:rPr>
        <w:t xml:space="preserve">  </w:t>
      </w:r>
      <w:r>
        <w:rPr>
          <w:rFonts w:eastAsiaTheme="minorEastAsia"/>
          <w:color w:val="000000" w:themeColor="text1"/>
          <w:szCs w:val="21"/>
          <w:highlight w:val="none"/>
          <w14:textFill>
            <w14:solidFill>
              <w14:schemeClr w14:val="tx1"/>
            </w14:solidFill>
          </w14:textFill>
        </w:rPr>
        <w:t>计价，</w:t>
      </w:r>
      <w:r>
        <w:rPr>
          <w:rFonts w:eastAsiaTheme="minorEastAsia"/>
          <w:szCs w:val="21"/>
          <w:highlight w:val="none"/>
        </w:rPr>
        <w:t>供应商应充分考虑项目实施期间的市场风险和国家政策性调整风险系数计入报价，并根据本项目和供应商的自身情况，一次性地报出本项目详细地、完整</w:t>
      </w:r>
      <w:r>
        <w:rPr>
          <w:rFonts w:hint="eastAsia" w:eastAsiaTheme="minorEastAsia"/>
          <w:szCs w:val="21"/>
          <w:highlight w:val="none"/>
          <w:lang w:eastAsia="zh-CN"/>
        </w:rPr>
        <w:t>的</w:t>
      </w:r>
      <w:r>
        <w:rPr>
          <w:rFonts w:eastAsiaTheme="minorEastAsia"/>
          <w:szCs w:val="21"/>
          <w:highlight w:val="none"/>
        </w:rPr>
        <w:t>报价</w:t>
      </w:r>
      <w:r>
        <w:rPr>
          <w:rFonts w:eastAsiaTheme="minorEastAsia"/>
          <w:bCs/>
          <w:szCs w:val="21"/>
          <w:highlight w:val="none"/>
        </w:rPr>
        <w:t>，供应商</w:t>
      </w:r>
      <w:r>
        <w:rPr>
          <w:rFonts w:hint="eastAsia" w:eastAsiaTheme="minorEastAsia"/>
          <w:bCs/>
          <w:szCs w:val="21"/>
          <w:highlight w:val="none"/>
          <w:lang w:eastAsia="zh-CN"/>
        </w:rPr>
        <w:t>未做</w:t>
      </w:r>
      <w:r>
        <w:rPr>
          <w:rFonts w:eastAsiaTheme="minorEastAsia"/>
          <w:bCs/>
          <w:szCs w:val="21"/>
          <w:highlight w:val="none"/>
        </w:rPr>
        <w:t>相应报价的，将被视为供应商已经在报价中作了相应的考虑，无论出现何种情况，综合单价在经过确定后，结算时将不作调整。</w:t>
      </w:r>
      <w:r>
        <w:rPr>
          <w:rFonts w:eastAsiaTheme="minorEastAsia"/>
          <w:color w:val="000000" w:themeColor="text1"/>
          <w:szCs w:val="21"/>
          <w:highlight w:val="none"/>
          <w14:textFill>
            <w14:solidFill>
              <w14:schemeClr w14:val="tx1"/>
            </w14:solidFill>
          </w14:textFill>
        </w:rPr>
        <w:t>本次报价包含</w:t>
      </w:r>
      <w:r>
        <w:rPr>
          <w:rFonts w:eastAsiaTheme="minorEastAsia"/>
          <w:b/>
          <w:color w:val="000000" w:themeColor="text1"/>
          <w:szCs w:val="21"/>
          <w:highlight w:val="none"/>
          <w14:textFill>
            <w14:solidFill>
              <w14:schemeClr w14:val="tx1"/>
            </w14:solidFill>
          </w14:textFill>
        </w:rPr>
        <w:t>响应文件评审专家费。</w:t>
      </w:r>
    </w:p>
    <w:p w14:paraId="18925009">
      <w:pPr>
        <w:wordWrap w:val="0"/>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注：本项目响应文件评审专家费等共计</w:t>
      </w:r>
      <w:r>
        <w:rPr>
          <w:rFonts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u w:val="single"/>
          <w:lang w:val="en-US" w:eastAsia="zh-CN"/>
          <w14:textFill>
            <w14:solidFill>
              <w14:schemeClr w14:val="tx1"/>
            </w14:solidFill>
          </w14:textFill>
        </w:rPr>
        <w:t>600</w:t>
      </w:r>
      <w:r>
        <w:rPr>
          <w:rFonts w:eastAsiaTheme="minorEastAsia"/>
          <w:b/>
          <w:color w:val="000000" w:themeColor="text1"/>
          <w:szCs w:val="21"/>
          <w:highlight w:val="none"/>
          <w:u w:val="single"/>
          <w14:textFill>
            <w14:solidFill>
              <w14:schemeClr w14:val="tx1"/>
            </w14:solidFill>
          </w14:textFill>
        </w:rPr>
        <w:t xml:space="preserve"> </w:t>
      </w:r>
      <w:r>
        <w:rPr>
          <w:rFonts w:eastAsiaTheme="minorEastAsia"/>
          <w:b/>
          <w:color w:val="000000" w:themeColor="text1"/>
          <w:szCs w:val="21"/>
          <w:highlight w:val="none"/>
          <w14:textFill>
            <w14:solidFill>
              <w14:schemeClr w14:val="tx1"/>
            </w14:solidFill>
          </w14:textFill>
        </w:rPr>
        <w:t>元，此费用包含在谈判总价中，不单列</w:t>
      </w:r>
      <w:r>
        <w:rPr>
          <w:rFonts w:hint="eastAsia" w:eastAsiaTheme="minorEastAsia"/>
          <w:b/>
          <w:color w:val="000000" w:themeColor="text1"/>
          <w:szCs w:val="21"/>
          <w:highlight w:val="none"/>
          <w:lang w:eastAsia="zh-CN"/>
          <w14:textFill>
            <w14:solidFill>
              <w14:schemeClr w14:val="tx1"/>
            </w14:solidFill>
          </w14:textFill>
        </w:rPr>
        <w:t>。</w:t>
      </w:r>
      <w:r>
        <w:rPr>
          <w:rFonts w:hint="eastAsia" w:eastAsiaTheme="minorEastAsia"/>
          <w:b/>
          <w:color w:val="000000" w:themeColor="text1"/>
          <w:szCs w:val="21"/>
          <w:highlight w:val="none"/>
          <w14:textFill>
            <w14:solidFill>
              <w14:schemeClr w14:val="tx1"/>
            </w14:solidFill>
          </w14:textFill>
        </w:rPr>
        <w:t>此费</w:t>
      </w:r>
      <w:r>
        <w:rPr>
          <w:rFonts w:hint="eastAsia" w:eastAsiaTheme="minorEastAsia"/>
          <w:b/>
          <w:color w:val="000000" w:themeColor="text1"/>
          <w:szCs w:val="21"/>
          <w:highlight w:val="none"/>
          <w:lang w:val="en-US" w:eastAsia="zh-CN"/>
          <w14:textFill>
            <w14:solidFill>
              <w14:schemeClr w14:val="tx1"/>
            </w14:solidFill>
          </w14:textFill>
        </w:rPr>
        <w:t>由</w:t>
      </w:r>
      <w:r>
        <w:rPr>
          <w:rFonts w:hint="eastAsia" w:eastAsiaTheme="minorEastAsia"/>
          <w:b/>
          <w:color w:val="000000" w:themeColor="text1"/>
          <w:szCs w:val="21"/>
          <w:highlight w:val="none"/>
          <w14:textFill>
            <w14:solidFill>
              <w14:schemeClr w14:val="tx1"/>
            </w14:solidFill>
          </w14:textFill>
        </w:rPr>
        <w:t>成交</w:t>
      </w:r>
      <w:r>
        <w:rPr>
          <w:rFonts w:hint="eastAsia" w:eastAsiaTheme="minorEastAsia"/>
          <w:b/>
          <w:color w:val="000000" w:themeColor="text1"/>
          <w:szCs w:val="21"/>
          <w:highlight w:val="none"/>
          <w:lang w:eastAsia="zh-CN"/>
          <w14:textFill>
            <w14:solidFill>
              <w14:schemeClr w14:val="tx1"/>
            </w14:solidFill>
          </w14:textFill>
        </w:rPr>
        <w:t>供应商</w:t>
      </w:r>
      <w:r>
        <w:rPr>
          <w:rFonts w:hint="eastAsia" w:eastAsiaTheme="minorEastAsia"/>
          <w:b/>
          <w:color w:val="000000" w:themeColor="text1"/>
          <w:szCs w:val="21"/>
          <w:highlight w:val="none"/>
          <w:lang w:val="en-US" w:eastAsia="zh-CN"/>
          <w14:textFill>
            <w14:solidFill>
              <w14:schemeClr w14:val="tx1"/>
            </w14:solidFill>
          </w14:textFill>
        </w:rPr>
        <w:t>采用公对公转账至连云港徐圩建筑工程有限公司</w:t>
      </w:r>
      <w:r>
        <w:rPr>
          <w:rFonts w:hint="eastAsia" w:eastAsiaTheme="minorEastAsia"/>
          <w:b/>
          <w:color w:val="000000" w:themeColor="text1"/>
          <w:szCs w:val="21"/>
          <w:highlight w:val="none"/>
          <w14:textFill>
            <w14:solidFill>
              <w14:schemeClr w14:val="tx1"/>
            </w14:solidFill>
          </w14:textFill>
        </w:rPr>
        <w:t>，</w:t>
      </w:r>
      <w:r>
        <w:rPr>
          <w:rFonts w:hint="eastAsia" w:eastAsiaTheme="minorEastAsia"/>
          <w:b/>
          <w:color w:val="000000" w:themeColor="text1"/>
          <w:szCs w:val="21"/>
          <w:highlight w:val="none"/>
          <w:lang w:val="en-US" w:eastAsia="zh-CN"/>
          <w14:textFill>
            <w14:solidFill>
              <w14:schemeClr w14:val="tx1"/>
            </w14:solidFill>
          </w14:textFill>
        </w:rPr>
        <w:t>此费用采购人不开具发票</w:t>
      </w:r>
      <w:r>
        <w:rPr>
          <w:rFonts w:hint="eastAsia" w:eastAsiaTheme="minorEastAsia"/>
          <w:b/>
          <w:color w:val="000000" w:themeColor="text1"/>
          <w:szCs w:val="21"/>
          <w:highlight w:val="none"/>
          <w14:textFill>
            <w14:solidFill>
              <w14:schemeClr w14:val="tx1"/>
            </w14:solidFill>
          </w14:textFill>
        </w:rPr>
        <w:t>。供应商成交后5个工作日内、合同签订前至</w:t>
      </w:r>
      <w:r>
        <w:rPr>
          <w:rFonts w:hint="eastAsia" w:eastAsiaTheme="minorEastAsia"/>
          <w:b/>
          <w:color w:val="000000" w:themeColor="text1"/>
          <w:szCs w:val="21"/>
          <w:highlight w:val="none"/>
          <w:lang w:val="en-US" w:eastAsia="zh-CN"/>
          <w14:textFill>
            <w14:solidFill>
              <w14:schemeClr w14:val="tx1"/>
            </w14:solidFill>
          </w14:textFill>
        </w:rPr>
        <w:t>连云港徐圩建筑工程有限公司</w:t>
      </w:r>
      <w:r>
        <w:rPr>
          <w:rFonts w:hint="eastAsia" w:eastAsiaTheme="minorEastAsia"/>
          <w:b/>
          <w:color w:val="000000" w:themeColor="text1"/>
          <w:szCs w:val="21"/>
          <w:highlight w:val="none"/>
          <w14:textFill>
            <w14:solidFill>
              <w14:schemeClr w14:val="tx1"/>
            </w14:solidFill>
          </w14:textFill>
        </w:rPr>
        <w:t>缴纳此费用。</w:t>
      </w:r>
      <w:r>
        <w:rPr>
          <w:rFonts w:eastAsiaTheme="minorEastAsia"/>
          <w:b/>
          <w:color w:val="000000" w:themeColor="text1"/>
          <w:szCs w:val="21"/>
          <w:highlight w:val="none"/>
          <w14:textFill>
            <w14:solidFill>
              <w14:schemeClr w14:val="tx1"/>
            </w14:solidFill>
          </w14:textFill>
        </w:rPr>
        <w:t>（联系人：</w:t>
      </w:r>
      <w:r>
        <w:rPr>
          <w:rFonts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u w:val="single"/>
          <w:lang w:val="en-US" w:eastAsia="zh-CN"/>
          <w14:textFill>
            <w14:solidFill>
              <w14:schemeClr w14:val="tx1"/>
            </w14:solidFill>
          </w14:textFill>
        </w:rPr>
        <w:t>赵工</w:t>
      </w:r>
      <w:r>
        <w:rPr>
          <w:rFonts w:eastAsiaTheme="minorEastAsia"/>
          <w:b/>
          <w:color w:val="000000" w:themeColor="text1"/>
          <w:szCs w:val="21"/>
          <w:highlight w:val="none"/>
          <w:u w:val="single"/>
          <w14:textFill>
            <w14:solidFill>
              <w14:schemeClr w14:val="tx1"/>
            </w14:solidFill>
          </w14:textFill>
        </w:rPr>
        <w:t xml:space="preserve"> </w:t>
      </w:r>
      <w:r>
        <w:rPr>
          <w:rFonts w:eastAsiaTheme="minorEastAsia"/>
          <w:b/>
          <w:color w:val="000000" w:themeColor="text1"/>
          <w:szCs w:val="21"/>
          <w:highlight w:val="none"/>
          <w14:textFill>
            <w14:solidFill>
              <w14:schemeClr w14:val="tx1"/>
            </w14:solidFill>
          </w14:textFill>
        </w:rPr>
        <w:t>，联系电话</w:t>
      </w:r>
      <w:r>
        <w:rPr>
          <w:rFonts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u w:val="single"/>
          <w:lang w:val="en-US" w:eastAsia="zh-CN"/>
          <w14:textFill>
            <w14:solidFill>
              <w14:schemeClr w14:val="tx1"/>
            </w14:solidFill>
          </w14:textFill>
        </w:rPr>
        <w:t>15951253067</w:t>
      </w:r>
      <w:r>
        <w:rPr>
          <w:rFonts w:eastAsiaTheme="minorEastAsia"/>
          <w:b/>
          <w:color w:val="000000" w:themeColor="text1"/>
          <w:szCs w:val="21"/>
          <w:highlight w:val="none"/>
          <w:u w:val="single"/>
          <w14:textFill>
            <w14:solidFill>
              <w14:schemeClr w14:val="tx1"/>
            </w14:solidFill>
          </w14:textFill>
        </w:rPr>
        <w:t xml:space="preserve"> </w:t>
      </w:r>
      <w:r>
        <w:rPr>
          <w:rFonts w:eastAsiaTheme="minorEastAsia"/>
          <w:b/>
          <w:color w:val="000000" w:themeColor="text1"/>
          <w:szCs w:val="21"/>
          <w:highlight w:val="none"/>
          <w14:textFill>
            <w14:solidFill>
              <w14:schemeClr w14:val="tx1"/>
            </w14:solidFill>
          </w14:textFill>
        </w:rPr>
        <w:t>）。</w:t>
      </w:r>
    </w:p>
    <w:p w14:paraId="2734EBA9">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3.2.2供应商的响应报价应充分考虑第四章</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合同条款及格式</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所列合同价格风险。</w:t>
      </w:r>
    </w:p>
    <w:p w14:paraId="01135ED9">
      <w:pPr>
        <w:shd w:val="clear"/>
        <w:spacing w:line="360" w:lineRule="exact"/>
        <w:ind w:firstLine="420"/>
        <w:jc w:val="left"/>
        <w:rPr>
          <w:rFonts w:eastAsiaTheme="minorEastAsia"/>
          <w:b/>
          <w:bCs/>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w:t>
      </w:r>
      <w:r>
        <w:rPr>
          <w:rFonts w:hint="eastAsia" w:eastAsiaTheme="minorEastAsia"/>
          <w:b w:val="0"/>
          <w:bCs w:val="0"/>
          <w:color w:val="000000" w:themeColor="text1"/>
          <w:szCs w:val="21"/>
          <w:highlight w:val="none"/>
          <w:lang w:val="en-US" w:eastAsia="zh-CN"/>
          <w14:textFill>
            <w14:solidFill>
              <w14:schemeClr w14:val="tx1"/>
            </w14:solidFill>
          </w14:textFill>
        </w:rPr>
        <w:t>3</w:t>
      </w:r>
      <w:r>
        <w:rPr>
          <w:rFonts w:eastAsiaTheme="minorEastAsia"/>
          <w:b/>
          <w:bCs/>
          <w:color w:val="000000" w:themeColor="text1"/>
          <w:szCs w:val="21"/>
          <w:highlight w:val="none"/>
          <w14:textFill>
            <w14:solidFill>
              <w14:schemeClr w14:val="tx1"/>
            </w14:solidFill>
          </w14:textFill>
        </w:rPr>
        <w:t>本项目采用</w:t>
      </w:r>
      <w:r>
        <w:rPr>
          <w:rFonts w:eastAsiaTheme="minorEastAsia"/>
          <w:b/>
          <w:bCs/>
          <w:color w:val="000000" w:themeColor="text1"/>
          <w:szCs w:val="21"/>
          <w:highlight w:val="none"/>
          <w:u w:val="single"/>
          <w14:textFill>
            <w14:solidFill>
              <w14:schemeClr w14:val="tx1"/>
            </w14:solidFill>
          </w14:textFill>
        </w:rPr>
        <w:t xml:space="preserve"> </w:t>
      </w:r>
      <w:r>
        <w:rPr>
          <w:rFonts w:hint="eastAsia" w:eastAsiaTheme="minorEastAsia"/>
          <w:b/>
          <w:bCs/>
          <w:color w:val="000000" w:themeColor="text1"/>
          <w:szCs w:val="21"/>
          <w:highlight w:val="none"/>
          <w:u w:val="single"/>
          <w:lang w:val="en-US" w:eastAsia="zh-CN"/>
          <w14:textFill>
            <w14:solidFill>
              <w14:schemeClr w14:val="tx1"/>
            </w14:solidFill>
          </w14:textFill>
        </w:rPr>
        <w:t>二</w:t>
      </w:r>
      <w:r>
        <w:rPr>
          <w:rFonts w:eastAsiaTheme="minorEastAsia"/>
          <w:b/>
          <w:bCs/>
          <w:color w:val="000000" w:themeColor="text1"/>
          <w:szCs w:val="21"/>
          <w:highlight w:val="none"/>
          <w:u w:val="single"/>
          <w14:textFill>
            <w14:solidFill>
              <w14:schemeClr w14:val="tx1"/>
            </w14:solidFill>
          </w14:textFill>
        </w:rPr>
        <w:t xml:space="preserve"> </w:t>
      </w:r>
      <w:r>
        <w:rPr>
          <w:rFonts w:eastAsiaTheme="minorEastAsia"/>
          <w:b/>
          <w:bCs/>
          <w:color w:val="000000" w:themeColor="text1"/>
          <w:szCs w:val="21"/>
          <w:highlight w:val="none"/>
          <w14:textFill>
            <w14:solidFill>
              <w14:schemeClr w14:val="tx1"/>
            </w14:solidFill>
          </w14:textFill>
        </w:rPr>
        <w:t>轮报价，</w:t>
      </w:r>
      <w:r>
        <w:rPr>
          <w:rFonts w:hint="eastAsia" w:eastAsiaTheme="minorEastAsia"/>
          <w:b/>
          <w:bCs/>
          <w:color w:val="000000" w:themeColor="text1"/>
          <w:szCs w:val="21"/>
          <w:highlight w:val="none"/>
          <w:lang w:val="en-US" w:eastAsia="zh-CN"/>
          <w14:textFill>
            <w14:solidFill>
              <w14:schemeClr w14:val="tx1"/>
            </w14:solidFill>
          </w14:textFill>
        </w:rPr>
        <w:t>原则上</w:t>
      </w:r>
      <w:r>
        <w:rPr>
          <w:rFonts w:hint="eastAsia" w:eastAsiaTheme="minorEastAsia"/>
          <w:b/>
          <w:bCs/>
          <w:color w:val="000000" w:themeColor="text1"/>
          <w:szCs w:val="21"/>
          <w:highlight w:val="none"/>
          <w:u w:val="single"/>
          <w:lang w:val="en-US" w:eastAsia="zh-CN"/>
          <w14:textFill>
            <w14:solidFill>
              <w14:schemeClr w14:val="tx1"/>
            </w14:solidFill>
          </w14:textFill>
        </w:rPr>
        <w:t xml:space="preserve"> 二 </w:t>
      </w:r>
      <w:r>
        <w:rPr>
          <w:rFonts w:hint="eastAsia" w:eastAsiaTheme="minorEastAsia"/>
          <w:b/>
          <w:bCs/>
          <w:color w:val="000000" w:themeColor="text1"/>
          <w:szCs w:val="21"/>
          <w:highlight w:val="none"/>
          <w14:textFill>
            <w14:solidFill>
              <w14:schemeClr w14:val="tx1"/>
            </w14:solidFill>
          </w14:textFill>
        </w:rPr>
        <w:t>报价即为最终报价</w:t>
      </w:r>
      <w:r>
        <w:rPr>
          <w:rFonts w:eastAsiaTheme="minorEastAsia"/>
          <w:b/>
          <w:bCs/>
          <w:color w:val="000000" w:themeColor="text1"/>
          <w:szCs w:val="21"/>
          <w:highlight w:val="none"/>
          <w14:textFill>
            <w14:solidFill>
              <w14:schemeClr w14:val="tx1"/>
            </w14:solidFill>
          </w14:textFill>
        </w:rPr>
        <w:t>。</w:t>
      </w:r>
    </w:p>
    <w:p w14:paraId="7C57A49C">
      <w:pPr>
        <w:shd w:val="clear"/>
        <w:spacing w:line="360" w:lineRule="exact"/>
        <w:ind w:firstLine="420"/>
        <w:jc w:val="left"/>
        <w:rPr>
          <w:rFonts w:hint="eastAsia" w:eastAsiaTheme="minorEastAsia"/>
          <w:color w:val="000000" w:themeColor="text1"/>
          <w:szCs w:val="21"/>
          <w:highlight w:val="none"/>
          <w:lang w:eastAsia="zh-CN"/>
          <w14:textFill>
            <w14:solidFill>
              <w14:schemeClr w14:val="tx1"/>
            </w14:solidFill>
          </w14:textFill>
        </w:rPr>
      </w:pPr>
      <w:r>
        <w:rPr>
          <w:rFonts w:hint="eastAsia" w:eastAsiaTheme="minorEastAsia"/>
          <w:color w:val="000000" w:themeColor="text1"/>
          <w:szCs w:val="21"/>
          <w:highlight w:val="none"/>
          <w:lang w:eastAsia="zh-CN"/>
          <w14:textFill>
            <w14:solidFill>
              <w14:schemeClr w14:val="tx1"/>
            </w14:solidFill>
          </w14:textFill>
        </w:rPr>
        <w:t>谈判评审小组可根据第</w:t>
      </w:r>
      <w:r>
        <w:rPr>
          <w:rFonts w:hint="eastAsia" w:eastAsiaTheme="minorEastAsia"/>
          <w:color w:val="000000" w:themeColor="text1"/>
          <w:szCs w:val="21"/>
          <w:highlight w:val="none"/>
          <w:lang w:val="en-US" w:eastAsia="zh-CN"/>
          <w14:textFill>
            <w14:solidFill>
              <w14:schemeClr w14:val="tx1"/>
            </w14:solidFill>
          </w14:textFill>
        </w:rPr>
        <w:t>一</w:t>
      </w:r>
      <w:r>
        <w:rPr>
          <w:rFonts w:hint="eastAsia" w:eastAsiaTheme="minorEastAsia"/>
          <w:color w:val="000000" w:themeColor="text1"/>
          <w:szCs w:val="21"/>
          <w:highlight w:val="none"/>
          <w:lang w:eastAsia="zh-CN"/>
          <w14:textFill>
            <w14:solidFill>
              <w14:schemeClr w14:val="tx1"/>
            </w14:solidFill>
          </w14:textFill>
        </w:rPr>
        <w:t>轮报价情况临时增加一轮谈判，邀请供应商进行第二轮报价，此情况下，第二轮报价为最终谈判报价，如谈判过程中因供应商原因导致无法联系等情况，供应商未依据采购人要求填报报价，视为供应商放弃第二轮报价，以前一次报价为最终报价。后一轮报价均不得高于前一轮报价（开标现场临时增加工作内容的除外）。</w:t>
      </w:r>
    </w:p>
    <w:p w14:paraId="010DB59D">
      <w:pPr>
        <w:shd w:val="clear"/>
        <w:spacing w:line="360" w:lineRule="exact"/>
        <w:ind w:firstLine="420"/>
        <w:jc w:val="left"/>
        <w:rPr>
          <w:rFonts w:hint="eastAsia" w:eastAsiaTheme="minorEastAsia"/>
          <w:b/>
          <w:bCs/>
          <w:color w:val="000000" w:themeColor="text1"/>
          <w:szCs w:val="21"/>
          <w:highlight w:val="none"/>
          <w14:textFill>
            <w14:solidFill>
              <w14:schemeClr w14:val="tx1"/>
            </w14:solidFill>
          </w14:textFill>
        </w:rPr>
      </w:pPr>
      <w:r>
        <w:rPr>
          <w:rFonts w:hint="eastAsia" w:eastAsiaTheme="minorEastAsia"/>
          <w:b/>
          <w:bCs/>
          <w:color w:val="000000" w:themeColor="text1"/>
          <w:szCs w:val="21"/>
          <w:highlight w:val="none"/>
          <w14:textFill>
            <w14:solidFill>
              <w14:schemeClr w14:val="tx1"/>
            </w14:solidFill>
          </w14:textFill>
        </w:rPr>
        <w:t>特别说明：</w:t>
      </w:r>
    </w:p>
    <w:p w14:paraId="11D62E8C">
      <w:pPr>
        <w:shd w:val="clear"/>
        <w:spacing w:line="360" w:lineRule="exact"/>
        <w:ind w:firstLine="420"/>
        <w:jc w:val="left"/>
        <w:rPr>
          <w:rFonts w:hint="eastAsia" w:eastAsiaTheme="minorEastAsia"/>
          <w:b/>
          <w:bCs/>
          <w:color w:val="000000" w:themeColor="text1"/>
          <w:szCs w:val="21"/>
          <w:highlight w:val="none"/>
          <w14:textFill>
            <w14:solidFill>
              <w14:schemeClr w14:val="tx1"/>
            </w14:solidFill>
          </w14:textFill>
        </w:rPr>
      </w:pPr>
      <w:r>
        <w:rPr>
          <w:rFonts w:hint="eastAsia" w:eastAsiaTheme="minorEastAsia"/>
          <w:b/>
          <w:bCs/>
          <w:color w:val="000000" w:themeColor="text1"/>
          <w:szCs w:val="21"/>
          <w:highlight w:val="none"/>
          <w14:textFill>
            <w14:solidFill>
              <w14:schemeClr w14:val="tx1"/>
            </w14:solidFill>
          </w14:textFill>
        </w:rPr>
        <w:t>①各供应商报价时需特别注意网上“二次报价”界面等所需填报金额的单位（“元”</w:t>
      </w:r>
      <w:r>
        <w:rPr>
          <w:rFonts w:hint="eastAsia" w:eastAsiaTheme="minorEastAsia"/>
          <w:b/>
          <w:bCs/>
          <w:color w:val="000000" w:themeColor="text1"/>
          <w:szCs w:val="21"/>
          <w:highlight w:val="none"/>
          <w:lang w:eastAsia="zh-CN"/>
          <w14:textFill>
            <w14:solidFill>
              <w14:schemeClr w14:val="tx1"/>
            </w14:solidFill>
          </w14:textFill>
        </w:rPr>
        <w:t>或“</w:t>
      </w:r>
      <w:r>
        <w:rPr>
          <w:rFonts w:hint="eastAsia" w:eastAsiaTheme="minorEastAsia"/>
          <w:b/>
          <w:bCs/>
          <w:color w:val="000000" w:themeColor="text1"/>
          <w:szCs w:val="21"/>
          <w:highlight w:val="none"/>
          <w:lang w:val="en-US" w:eastAsia="zh-CN"/>
          <w14:textFill>
            <w14:solidFill>
              <w14:schemeClr w14:val="tx1"/>
            </w14:solidFill>
          </w14:textFill>
        </w:rPr>
        <w:t>下浮率</w:t>
      </w:r>
      <w:r>
        <w:rPr>
          <w:rFonts w:hint="eastAsia" w:eastAsiaTheme="minorEastAsia"/>
          <w:b/>
          <w:bCs/>
          <w:color w:val="000000" w:themeColor="text1"/>
          <w:szCs w:val="21"/>
          <w:highlight w:val="none"/>
          <w:lang w:eastAsia="zh-CN"/>
          <w14:textFill>
            <w14:solidFill>
              <w14:schemeClr w14:val="tx1"/>
            </w14:solidFill>
          </w14:textFill>
        </w:rPr>
        <w:t>”</w:t>
      </w:r>
      <w:r>
        <w:rPr>
          <w:rFonts w:hint="eastAsia" w:eastAsiaTheme="minorEastAsia"/>
          <w:b/>
          <w:bCs/>
          <w:color w:val="000000" w:themeColor="text1"/>
          <w:szCs w:val="21"/>
          <w:highlight w:val="none"/>
          <w14:textFill>
            <w14:solidFill>
              <w14:schemeClr w14:val="tx1"/>
            </w14:solidFill>
          </w14:textFill>
        </w:rPr>
        <w:t>）。</w:t>
      </w:r>
      <w:r>
        <w:rPr>
          <w:rFonts w:hint="eastAsia" w:eastAsiaTheme="minorEastAsia"/>
          <w:b/>
          <w:bCs/>
          <w:color w:val="FF0000"/>
          <w:szCs w:val="21"/>
          <w:highlight w:val="none"/>
        </w:rPr>
        <w:t>例如：下浮率为10%，则填写“10”。</w:t>
      </w:r>
    </w:p>
    <w:p w14:paraId="2FFECF9D">
      <w:pPr>
        <w:shd w:val="clear"/>
        <w:spacing w:line="360" w:lineRule="exact"/>
        <w:ind w:firstLine="420"/>
        <w:jc w:val="left"/>
        <w:rPr>
          <w:rFonts w:hint="eastAsia" w:eastAsiaTheme="minorEastAsia"/>
          <w:b/>
          <w:bCs/>
          <w:color w:val="000000" w:themeColor="text1"/>
          <w:szCs w:val="21"/>
          <w:highlight w:val="none"/>
          <w14:textFill>
            <w14:solidFill>
              <w14:schemeClr w14:val="tx1"/>
            </w14:solidFill>
          </w14:textFill>
        </w:rPr>
      </w:pPr>
      <w:r>
        <w:rPr>
          <w:rFonts w:hint="eastAsia" w:eastAsiaTheme="minorEastAsia"/>
          <w:b/>
          <w:bCs/>
          <w:color w:val="000000" w:themeColor="text1"/>
          <w:szCs w:val="21"/>
          <w:highlight w:val="none"/>
          <w14:textFill>
            <w14:solidFill>
              <w14:schemeClr w14:val="tx1"/>
            </w14:solidFill>
          </w14:textFill>
        </w:rPr>
        <w:t>②如采购人发现投标文件存在不平衡报价，采购人有权要求</w:t>
      </w:r>
      <w:r>
        <w:rPr>
          <w:rFonts w:hint="eastAsia" w:eastAsiaTheme="minorEastAsia"/>
          <w:b/>
          <w:bCs/>
          <w:color w:val="000000" w:themeColor="text1"/>
          <w:szCs w:val="21"/>
          <w:highlight w:val="none"/>
          <w:lang w:eastAsia="zh-CN"/>
          <w14:textFill>
            <w14:solidFill>
              <w14:schemeClr w14:val="tx1"/>
            </w14:solidFill>
          </w14:textFill>
        </w:rPr>
        <w:t>供应商</w:t>
      </w:r>
      <w:r>
        <w:rPr>
          <w:rFonts w:hint="eastAsia" w:eastAsiaTheme="minorEastAsia"/>
          <w:b/>
          <w:bCs/>
          <w:color w:val="000000" w:themeColor="text1"/>
          <w:szCs w:val="21"/>
          <w:highlight w:val="none"/>
          <w14:textFill>
            <w14:solidFill>
              <w14:schemeClr w14:val="tx1"/>
            </w14:solidFill>
          </w14:textFill>
        </w:rPr>
        <w:t>调整报价至合理报价。如拒不调整，采购人有权取消该单位本次投标资格。</w:t>
      </w:r>
    </w:p>
    <w:p w14:paraId="6D02B25D">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eastAsiaTheme="minorEastAsia"/>
          <w:color w:val="000000" w:themeColor="text1"/>
          <w:szCs w:val="21"/>
          <w:highlight w:val="none"/>
          <w:lang w:val="en-US" w:eastAsia="zh-CN"/>
          <w14:textFill>
            <w14:solidFill>
              <w14:schemeClr w14:val="tx1"/>
            </w14:solidFill>
          </w14:textFill>
        </w:rPr>
      </w:pPr>
      <w:r>
        <w:rPr>
          <w:rFonts w:hint="eastAsia" w:eastAsiaTheme="minorEastAsia"/>
          <w:b/>
          <w:bCs/>
          <w:color w:val="000000" w:themeColor="text1"/>
          <w:szCs w:val="21"/>
          <w:highlight w:val="none"/>
          <w14:textFill>
            <w14:solidFill>
              <w14:schemeClr w14:val="tx1"/>
            </w14:solidFill>
          </w14:textFill>
        </w:rPr>
        <w:t>③如未达到采购人预期，采购人有权邀请供应商继续进行报价或取消本次采购重新组织采购。</w:t>
      </w:r>
      <w:r>
        <w:rPr>
          <w:rFonts w:hint="eastAsia" w:eastAsiaTheme="minorEastAsia"/>
          <w:color w:val="000000" w:themeColor="text1"/>
          <w:szCs w:val="21"/>
          <w:highlight w:val="none"/>
          <w:lang w:val="en-US" w:eastAsia="zh-CN"/>
          <w14:textFill>
            <w14:solidFill>
              <w14:schemeClr w14:val="tx1"/>
            </w14:solidFill>
          </w14:textFill>
        </w:rPr>
        <w:t>3.2.4其他要求</w:t>
      </w:r>
    </w:p>
    <w:p w14:paraId="2EB730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t>（1）</w:t>
      </w:r>
      <w:r>
        <w:rPr>
          <w:rFonts w:hint="eastAsia" w:cs="Times New Roman" w:eastAsiaTheme="minorEastAsia"/>
          <w:color w:val="000000" w:themeColor="text1"/>
          <w:szCs w:val="21"/>
          <w:highlight w:val="none"/>
          <w:lang w:val="en-US" w:eastAsia="zh-CN"/>
          <w14:textFill>
            <w14:solidFill>
              <w14:schemeClr w14:val="tx1"/>
            </w14:solidFill>
          </w14:textFill>
        </w:rPr>
        <w:t>本项目全费用固定单价包含所有谈判供应商提供约定服务的报酬及谈判供应商提供服务所支出的必要费用，采购人在上述合同价款之外不再向谈判供应商方支付其他任何费用，其应包含但不限于挖掘机、压路机、平地机、刮平机、装载机、洒水车等机械设备及钢板租赁、现场倒运产生的费用。运距由投标人综合考虑在报价中，结算时不做调整；</w:t>
      </w:r>
    </w:p>
    <w:p w14:paraId="46D13D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eastAsiaTheme="minorEastAsia"/>
          <w:color w:val="000000" w:themeColor="text1"/>
          <w:szCs w:val="21"/>
          <w:highlight w:val="none"/>
          <w14:textFill>
            <w14:solidFill>
              <w14:schemeClr w14:val="tx1"/>
            </w14:solidFill>
          </w14:textFill>
        </w:rPr>
      </w:pPr>
      <w:r>
        <w:rPr>
          <w:rFonts w:hint="eastAsia" w:ascii="Times New Roman" w:hAnsi="Times New Roman" w:cs="Times New Roman" w:eastAsiaTheme="minorEastAsia"/>
          <w:color w:val="000000" w:themeColor="text1"/>
          <w:szCs w:val="21"/>
          <w:highlight w:val="none"/>
          <w14:textFill>
            <w14:solidFill>
              <w14:schemeClr w14:val="tx1"/>
            </w14:solidFill>
          </w14:textFill>
        </w:rPr>
        <w:t>（</w:t>
      </w:r>
      <w:r>
        <w:rPr>
          <w:rFonts w:ascii="Times New Roman" w:hAnsi="Times New Roman" w:cs="Times New Roman" w:eastAsiaTheme="minorEastAsia"/>
          <w:color w:val="000000" w:themeColor="text1"/>
          <w:szCs w:val="21"/>
          <w:highlight w:val="none"/>
          <w14:textFill>
            <w14:solidFill>
              <w14:schemeClr w14:val="tx1"/>
            </w14:solidFill>
          </w14:textFill>
        </w:rPr>
        <w:t>2</w:t>
      </w:r>
      <w:r>
        <w:rPr>
          <w:rFonts w:hint="eastAsia" w:ascii="Times New Roman" w:hAnsi="Times New Roman" w:cs="Times New Roman" w:eastAsiaTheme="minorEastAsia"/>
          <w:color w:val="000000" w:themeColor="text1"/>
          <w:szCs w:val="21"/>
          <w:highlight w:val="none"/>
          <w14:textFill>
            <w14:solidFill>
              <w14:schemeClr w14:val="tx1"/>
            </w14:solidFill>
          </w14:textFill>
        </w:rPr>
        <w:t>）供应商在报价前自行安排勘察工程施工现场以充分了解任何影响成本价的情况，报价时充分考虑现场场地等因素，综合单价和工期不因现场场地等因素而调整。中标后，不论施工方案或施工组织设计发生任何变化，或任何因忽视或误解工地情况而导致的索赔或工期延长申请将不被批准。</w:t>
      </w:r>
    </w:p>
    <w:p w14:paraId="22E6A49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highlight w:val="none"/>
        </w:rPr>
      </w:pPr>
      <w:r>
        <w:rPr>
          <w:rFonts w:hint="eastAsia"/>
          <w:highlight w:val="none"/>
        </w:rPr>
        <w:t>（3）谈判供应商须勘察施工现场情况，施工过程中产生的建筑垃圾及生活垃圾由谈判供应商自行处理，所产生费用应综合考虑在竞标报价中。供应商中标后，必须和主管部门认可的建筑垃圾处置单位签订垃圾处置合同，并承担相关垃圾处理费用。</w:t>
      </w:r>
    </w:p>
    <w:p w14:paraId="79E3EA5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highlight w:val="none"/>
        </w:rPr>
      </w:pPr>
      <w:r>
        <w:rPr>
          <w:rFonts w:hint="eastAsia"/>
          <w:highlight w:val="none"/>
        </w:rPr>
        <w:t>（4）施工中机械设施、施工及生活用水用电费用等均由谈判供应商承担。</w:t>
      </w:r>
    </w:p>
    <w:p w14:paraId="151BDB9C">
      <w:pPr>
        <w:pStyle w:val="18"/>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highlight w:val="none"/>
        </w:rPr>
      </w:pP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供应商食宿自理，</w:t>
      </w:r>
      <w:r>
        <w:rPr>
          <w:rFonts w:hint="eastAsia"/>
          <w:color w:val="000000" w:themeColor="text1"/>
          <w:highlight w:val="none"/>
          <w:lang w:val="en-US" w:eastAsia="zh-CN"/>
          <w14:textFill>
            <w14:solidFill>
              <w14:schemeClr w14:val="tx1"/>
            </w14:solidFill>
          </w14:textFill>
        </w:rPr>
        <w:t>采购人不提供办公场地</w:t>
      </w:r>
      <w:r>
        <w:rPr>
          <w:rFonts w:hint="eastAsia"/>
          <w:highlight w:val="none"/>
          <w:lang w:val="en-US" w:eastAsia="zh-CN"/>
        </w:rPr>
        <w:t>，由供应商提供不低于2间办公室给采购人现场办公使用，并配置办公家具和用品。</w:t>
      </w:r>
    </w:p>
    <w:p w14:paraId="395A462F">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highlight w:val="none"/>
        </w:rPr>
      </w:pPr>
      <w:bookmarkStart w:id="63" w:name="_Toc389065165"/>
      <w:bookmarkStart w:id="64" w:name="_Toc520410591"/>
      <w:r>
        <w:rPr>
          <w:rFonts w:hint="eastAsia"/>
          <w:highlight w:val="none"/>
        </w:rPr>
        <w:t>（</w:t>
      </w:r>
      <w:r>
        <w:rPr>
          <w:rFonts w:hint="eastAsia"/>
          <w:highlight w:val="none"/>
          <w:lang w:val="en-US" w:eastAsia="zh-CN"/>
        </w:rPr>
        <w:t>6</w:t>
      </w:r>
      <w:r>
        <w:rPr>
          <w:rFonts w:hint="eastAsia"/>
          <w:highlight w:val="none"/>
        </w:rPr>
        <w:t>）因施工可能会造成原有成品破坏的，供应商应综合考虑现场破坏及恢复费用，有关成品保护及恢复费用，由此产生的费用包含在响应报价中。</w:t>
      </w:r>
    </w:p>
    <w:p w14:paraId="468864BD">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highlight w:val="none"/>
        </w:rPr>
      </w:pPr>
      <w:r>
        <w:rPr>
          <w:rFonts w:hint="eastAsia"/>
          <w:highlight w:val="none"/>
        </w:rPr>
        <w:t>（</w:t>
      </w:r>
      <w:r>
        <w:rPr>
          <w:rFonts w:hint="eastAsia"/>
          <w:highlight w:val="none"/>
          <w:lang w:val="en-US" w:eastAsia="zh-CN"/>
        </w:rPr>
        <w:t>7</w:t>
      </w:r>
      <w:r>
        <w:rPr>
          <w:rFonts w:hint="eastAsia"/>
          <w:highlight w:val="none"/>
        </w:rPr>
        <w:t>）供应商应自行考虑非采购人所为八小时内的临时停水停电、环保噪音扰民、连续降雨、严重冰冻、大风、高温、节假日、市内重大活动期间以及发包人需要的时间段内可能对施工作出某些限制和配合要求引起工效降低和民抚费用等。</w:t>
      </w:r>
    </w:p>
    <w:p w14:paraId="3A61BB74">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highlight w:val="none"/>
        </w:rPr>
      </w:pPr>
      <w:r>
        <w:rPr>
          <w:rFonts w:hint="eastAsia"/>
          <w:highlight w:val="none"/>
        </w:rPr>
        <w:t>（</w:t>
      </w:r>
      <w:r>
        <w:rPr>
          <w:rFonts w:hint="eastAsia"/>
          <w:highlight w:val="none"/>
          <w:lang w:val="en-US" w:eastAsia="zh-CN"/>
        </w:rPr>
        <w:t>8</w:t>
      </w:r>
      <w:r>
        <w:rPr>
          <w:rFonts w:hint="eastAsia"/>
          <w:highlight w:val="none"/>
        </w:rPr>
        <w:t>）施工过程中与周围发生的纠纷由谈判供应商自行协商解决，费用由谈判供应商自理，该费用应包含在竞标报价中。因不可抗力事件导致的费用，双方应按以下原则分别承担并调整工程价款。因谈判供应商原因导致第三方人员伤亡和财产损失的，由谈判供应商承担；谈判供应商人员伤亡由其所在单位负责，并承担相应费用，与采购人无关；谈判供应商的施工机械设备的损坏及停工损失，由谈判供应商承担。</w:t>
      </w:r>
    </w:p>
    <w:p w14:paraId="234C8E3A">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（9）成交供应商必须在合同签订后2日内购买保额不低于120万元的团体意外伤害险，施工进场前提供保单证明材料，如未足额购买，结算时将按保费双倍扣除。</w:t>
      </w:r>
    </w:p>
    <w:p w14:paraId="630117F2">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供应商需安排专人进行工程及工人实名制资料的编写、整理、报验、收集、归档等，费用已在报价清单内综合考虑。工程竣工验收后15天内向采购人提供竣工结算资料，并提出结算申请。供应商提供的结算资料有采购人项目部验收证明、工程量明细、变更认价单及其他涉及工程造价的相关资料。</w:t>
      </w:r>
    </w:p>
    <w:p w14:paraId="040E6C5E">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（11）供应商需提前自行踏勘现场，并接受现场的现状场地条件。</w:t>
      </w:r>
    </w:p>
    <w:p w14:paraId="743AE828">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（12）供应商需自行放线和测量高程，且满足设计和规范要求。</w:t>
      </w:r>
    </w:p>
    <w:p w14:paraId="35A958C9">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（13）供应商需自行将水、电接入现场，并挂表缴费，费用按建设单位价格执行。</w:t>
      </w:r>
    </w:p>
    <w:p w14:paraId="48DB7BF3">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（14）现场已有场地硬化部位不得随意破除，破除前需采购人确认后方可实施。</w:t>
      </w:r>
    </w:p>
    <w:p w14:paraId="4F88CE10">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（15）若打桩前现场场地不满足机械承载力需求场地固化及破除局部硬化地坪费用在投标报价内综合考虑。</w:t>
      </w:r>
    </w:p>
    <w:p w14:paraId="4743BEA6">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（16）供应商需提供完整的竣工资料，并确保总包单位接收，否则视为未完成竣工验收。</w:t>
      </w:r>
    </w:p>
    <w:p w14:paraId="4268FCFB">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供应商全费用综合包干单价包括人工费、材料费（含损耗、辅材）、机械费、登高费、脚手架、管理费、利润、措施费、规费、税金、一定范围内的风险及为完成本工程所发生全部费用。因场内临时设施、降排水、二次搬运、冬雨季施工、大型机械进退场费、措施项目费用增加，投标单位报价中综合考虑等包含在投标报价中，不再另外计取。</w:t>
      </w:r>
    </w:p>
    <w:p w14:paraId="04B22554">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（18）因供应商原因导致采购人产生的各种罚款，费用由供应商承担。</w:t>
      </w:r>
    </w:p>
    <w:p w14:paraId="1EC530BA">
      <w:pPr>
        <w:pStyle w:val="47"/>
        <w:keepNext w:val="0"/>
        <w:keepLines w:val="0"/>
        <w:pageBreakBefore w:val="0"/>
        <w:widowControl w:val="0"/>
        <w:kinsoku/>
        <w:wordWrap/>
        <w:overflowPunct/>
        <w:topLinePunct w:val="0"/>
        <w:autoSpaceDE/>
        <w:autoSpaceDN/>
        <w:bidi w:val="0"/>
        <w:adjustRightInd/>
        <w:snapToGrid/>
        <w:spacing w:before="0" w:line="36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（19）供应商现场作业所必须使用铺设钢板优先向采购人租赁，装卸费、运输费及现场调运费等由供应商承担，如有损坏或遗失按照10000元/块赔偿采购人。</w:t>
      </w:r>
    </w:p>
    <w:p w14:paraId="53BD648F">
      <w:pPr>
        <w:spacing w:line="360" w:lineRule="exact"/>
        <w:ind w:firstLine="420" w:firstLineChars="200"/>
        <w:jc w:val="left"/>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w:t>
      </w:r>
      <w:r>
        <w:rPr>
          <w:rFonts w:hint="default"/>
          <w:color w:val="000000" w:themeColor="text1"/>
          <w:highlight w:val="none"/>
          <w:lang w:val="en-US" w:eastAsia="zh-CN"/>
          <w14:textFill>
            <w14:solidFill>
              <w14:schemeClr w14:val="tx1"/>
            </w14:solidFill>
          </w14:textFill>
        </w:rPr>
        <w:t>）本次招标执行苏建规字〔2020〕6号文，采购人根据项目情况有权要求成交供应商在领取中标通知书后30日内，合同签订前向采购人提交履约保证金，缴纳形式为现金或银行保函。履约保证金待工程完工后30天内（无息）退还，请谈判供应在报价时综合考虑。</w:t>
      </w:r>
    </w:p>
    <w:p w14:paraId="4B3A5FF9">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3.3 谈判有效期</w:t>
      </w:r>
      <w:bookmarkEnd w:id="63"/>
      <w:bookmarkEnd w:id="64"/>
    </w:p>
    <w:p w14:paraId="6AA2DCF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3.3.1本项目谈判有效期见</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供应商须知前附表</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，在规定的谈判有效期内，供应商不得要求撤销或修改其响应文件。</w:t>
      </w:r>
    </w:p>
    <w:p w14:paraId="1B06D51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375EA8CF">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65" w:name="_Toc389065166"/>
      <w:bookmarkStart w:id="66" w:name="_Toc520410592"/>
      <w:r>
        <w:rPr>
          <w:rFonts w:eastAsiaTheme="minorEastAsia"/>
          <w:b/>
          <w:bCs/>
          <w:color w:val="000000" w:themeColor="text1"/>
          <w:szCs w:val="21"/>
          <w:highlight w:val="none"/>
          <w14:textFill>
            <w14:solidFill>
              <w14:schemeClr w14:val="tx1"/>
            </w14:solidFill>
          </w14:textFill>
        </w:rPr>
        <w:t>3.4 谈判保证金</w:t>
      </w:r>
      <w:bookmarkEnd w:id="65"/>
      <w:bookmarkEnd w:id="66"/>
    </w:p>
    <w:p w14:paraId="4382EB2F">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3.4.1 谈判保证金提交要求：</w:t>
      </w:r>
      <w:bookmarkStart w:id="67" w:name="_Hlk39483102"/>
      <w:r>
        <w:rPr>
          <w:rFonts w:eastAsiaTheme="minorEastAsia"/>
          <w:color w:val="000000" w:themeColor="text1"/>
          <w:szCs w:val="21"/>
          <w:highlight w:val="none"/>
          <w14:textFill>
            <w14:solidFill>
              <w14:schemeClr w14:val="tx1"/>
            </w14:solidFill>
          </w14:textFill>
        </w:rPr>
        <w:t>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bookmarkEnd w:id="67"/>
    </w:p>
    <w:p w14:paraId="4837DFE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3.4.2 供应商不按本章第3.4.1项要求提交谈判保证金的，评审委员会将否决其递交的响应文件。</w:t>
      </w:r>
    </w:p>
    <w:p w14:paraId="3D277C4E">
      <w:pPr>
        <w:spacing w:line="360" w:lineRule="exact"/>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3.4.3采购人在成交通知书发放后5日内退还非成交供应商的谈判保证金，合同签订后 5 日内退还成交供应商的谈判保证金。</w:t>
      </w:r>
    </w:p>
    <w:p w14:paraId="398F667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3.4.4谈判保证金不予退还的情形：见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70A1031A">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68" w:name="_Toc520410593"/>
      <w:bookmarkStart w:id="69" w:name="_Toc389065168"/>
      <w:bookmarkStart w:id="70" w:name="_Toc389065169"/>
      <w:bookmarkStart w:id="71" w:name="_Toc520410594"/>
      <w:r>
        <w:rPr>
          <w:rFonts w:eastAsiaTheme="minorEastAsia"/>
          <w:b/>
          <w:bCs/>
          <w:color w:val="000000" w:themeColor="text1"/>
          <w:szCs w:val="21"/>
          <w:highlight w:val="none"/>
          <w14:textFill>
            <w14:solidFill>
              <w14:schemeClr w14:val="tx1"/>
            </w14:solidFill>
          </w14:textFill>
        </w:rPr>
        <w:t>3.5 响应文件的编制</w:t>
      </w:r>
      <w:bookmarkEnd w:id="68"/>
      <w:bookmarkEnd w:id="69"/>
    </w:p>
    <w:p w14:paraId="7D72F01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3.5.1供应商应认真阅读谈判文件所有的内容，响应文件应按第</w:t>
      </w:r>
      <w:r>
        <w:rPr>
          <w:rFonts w:hint="eastAsia" w:eastAsiaTheme="minorEastAsia"/>
          <w:color w:val="000000" w:themeColor="text1"/>
          <w:szCs w:val="21"/>
          <w:highlight w:val="none"/>
          <w14:textFill>
            <w14:solidFill>
              <w14:schemeClr w14:val="tx1"/>
            </w14:solidFill>
          </w14:textFill>
        </w:rPr>
        <w:t>六</w:t>
      </w:r>
      <w:r>
        <w:rPr>
          <w:rFonts w:eastAsiaTheme="minorEastAsia"/>
          <w:color w:val="000000" w:themeColor="text1"/>
          <w:szCs w:val="21"/>
          <w:highlight w:val="none"/>
          <w14:textFill>
            <w14:solidFill>
              <w14:schemeClr w14:val="tx1"/>
            </w14:solidFill>
          </w14:textFill>
        </w:rPr>
        <w:t>章</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响应文件格式</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进行编写，如有必要可自行增加，作为响应文件的组成部分。</w:t>
      </w:r>
    </w:p>
    <w:p w14:paraId="2731A75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3.5.2响应文件应当对谈判文件有关工期、谈判有效期、质量要求、技术标准和要求、采购范围等实质性内容作出响应。</w:t>
      </w:r>
    </w:p>
    <w:p w14:paraId="2A1BDF6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3.5.3未注明用何种语言和币种的，以中文和人民币为准。全套响应文件应无修改和行间插字，如有修改，须在修改处加盖供应商法定代表人或其授权委托人的签字。</w:t>
      </w:r>
    </w:p>
    <w:p w14:paraId="11266C2F">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72" w:name="_Toc302"/>
      <w:r>
        <w:rPr>
          <w:rFonts w:ascii="Times New Roman" w:hAnsi="Times New Roman" w:eastAsiaTheme="minorEastAsia"/>
          <w:color w:val="000000" w:themeColor="text1"/>
          <w:sz w:val="21"/>
          <w:szCs w:val="21"/>
          <w:highlight w:val="none"/>
          <w14:textFill>
            <w14:solidFill>
              <w14:schemeClr w14:val="tx1"/>
            </w14:solidFill>
          </w14:textFill>
        </w:rPr>
        <w:t>四、</w:t>
      </w:r>
      <w:bookmarkEnd w:id="70"/>
      <w:bookmarkEnd w:id="71"/>
      <w:bookmarkStart w:id="73" w:name="_Toc520410595"/>
      <w:bookmarkStart w:id="74" w:name="_Toc389065170"/>
      <w:r>
        <w:rPr>
          <w:rFonts w:ascii="Times New Roman" w:hAnsi="Times New Roman" w:eastAsiaTheme="minorEastAsia"/>
          <w:color w:val="000000" w:themeColor="text1"/>
          <w:sz w:val="21"/>
          <w:szCs w:val="21"/>
          <w:highlight w:val="none"/>
          <w14:textFill>
            <w14:solidFill>
              <w14:schemeClr w14:val="tx1"/>
            </w14:solidFill>
          </w14:textFill>
        </w:rPr>
        <w:t>响应文件的递交、修改与撤回</w:t>
      </w:r>
      <w:bookmarkEnd w:id="72"/>
    </w:p>
    <w:p w14:paraId="3C1A0AE7">
      <w:pPr>
        <w:spacing w:line="360" w:lineRule="exact"/>
        <w:ind w:firstLine="0" w:firstLineChars="0"/>
        <w:jc w:val="left"/>
        <w:rPr>
          <w:rFonts w:eastAsiaTheme="minorEastAsia"/>
          <w:bCs/>
          <w:color w:val="000000" w:themeColor="text1"/>
          <w:szCs w:val="21"/>
          <w:highlight w:val="none"/>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4.1 响应文件的</w:t>
      </w:r>
      <w:bookmarkEnd w:id="73"/>
      <w:bookmarkEnd w:id="74"/>
      <w:r>
        <w:rPr>
          <w:rFonts w:eastAsiaTheme="minorEastAsia"/>
          <w:bCs/>
          <w:color w:val="000000" w:themeColor="text1"/>
          <w:szCs w:val="21"/>
          <w:highlight w:val="none"/>
          <w14:textFill>
            <w14:solidFill>
              <w14:schemeClr w14:val="tx1"/>
            </w14:solidFill>
          </w14:textFill>
        </w:rPr>
        <w:t>递交</w:t>
      </w:r>
    </w:p>
    <w:p w14:paraId="148076C9">
      <w:pPr>
        <w:spacing w:line="360" w:lineRule="exact"/>
        <w:ind w:firstLine="420"/>
        <w:jc w:val="left"/>
        <w:rPr>
          <w:rFonts w:eastAsiaTheme="minorEastAsia"/>
          <w:color w:val="000000" w:themeColor="text1"/>
          <w:szCs w:val="21"/>
          <w:highlight w:val="none"/>
          <w14:textFill>
            <w14:solidFill>
              <w14:schemeClr w14:val="tx1"/>
            </w14:solidFill>
          </w14:textFill>
        </w:rPr>
      </w:pPr>
      <w:bookmarkStart w:id="75" w:name="_Toc389065171"/>
      <w:bookmarkStart w:id="76" w:name="_Toc520410596"/>
      <w:r>
        <w:rPr>
          <w:rFonts w:eastAsiaTheme="minorEastAsia"/>
          <w:color w:val="000000" w:themeColor="text1"/>
          <w:szCs w:val="21"/>
          <w:highlight w:val="none"/>
          <w14:textFill>
            <w14:solidFill>
              <w14:schemeClr w14:val="tx1"/>
            </w14:solidFill>
          </w14:textFill>
        </w:rPr>
        <w:t xml:space="preserve">4.1.1 </w:t>
      </w:r>
      <w:bookmarkEnd w:id="75"/>
      <w:bookmarkEnd w:id="76"/>
      <w:r>
        <w:rPr>
          <w:rFonts w:eastAsiaTheme="minorEastAsia"/>
          <w:color w:val="000000" w:themeColor="text1"/>
          <w:szCs w:val="21"/>
          <w:highlight w:val="none"/>
          <w14:textFill>
            <w14:solidFill>
              <w14:schemeClr w14:val="tx1"/>
            </w14:solidFill>
          </w14:textFill>
        </w:rPr>
        <w:t>供应商应在供应商须知前附表规定的响应文件递交截止时间前，向</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eastAsiaTheme="minorEastAsia"/>
          <w:color w:val="000000" w:themeColor="text1"/>
          <w:szCs w:val="21"/>
          <w:highlight w:val="none"/>
          <w14:textFill>
            <w14:solidFill>
              <w14:schemeClr w14:val="tx1"/>
            </w14:solidFill>
          </w14:textFill>
        </w:rPr>
        <w:t>递交电子响应文件。</w:t>
      </w:r>
    </w:p>
    <w:p w14:paraId="5D5E44D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 xml:space="preserve">1.2 </w:t>
      </w:r>
      <w:r>
        <w:rPr>
          <w:rFonts w:eastAsiaTheme="minorEastAsia"/>
          <w:color w:val="000000" w:themeColor="text1"/>
          <w:szCs w:val="21"/>
          <w:highlight w:val="none"/>
          <w14:textFill>
            <w14:solidFill>
              <w14:schemeClr w14:val="tx1"/>
            </w14:solidFill>
          </w14:textFill>
        </w:rPr>
        <w:t>响应文件递交的地点：详见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31065BF1">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4.1.3 逾期上传</w:t>
      </w:r>
      <w:r>
        <w:rPr>
          <w:rFonts w:hint="eastAsia" w:eastAsiaTheme="minorEastAsia"/>
          <w:color w:val="000000" w:themeColor="text1"/>
          <w:szCs w:val="21"/>
          <w:highlight w:val="none"/>
          <w14:textFill>
            <w14:solidFill>
              <w14:schemeClr w14:val="tx1"/>
            </w14:solidFill>
          </w14:textFill>
        </w:rPr>
        <w:t>电子</w:t>
      </w:r>
      <w:r>
        <w:rPr>
          <w:rFonts w:eastAsiaTheme="minorEastAsia"/>
          <w:color w:val="000000" w:themeColor="text1"/>
          <w:szCs w:val="21"/>
          <w:highlight w:val="none"/>
          <w14:textFill>
            <w14:solidFill>
              <w14:schemeClr w14:val="tx1"/>
            </w14:solidFill>
          </w14:textFill>
        </w:rPr>
        <w:t>响应文件的，采购人不予受理。</w:t>
      </w:r>
    </w:p>
    <w:p w14:paraId="6052EFB1">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77" w:name="_Toc520410597"/>
      <w:bookmarkStart w:id="78" w:name="_Toc389065172"/>
      <w:r>
        <w:rPr>
          <w:rFonts w:eastAsiaTheme="minorEastAsia"/>
          <w:b/>
          <w:bCs/>
          <w:color w:val="000000" w:themeColor="text1"/>
          <w:szCs w:val="21"/>
          <w:highlight w:val="none"/>
          <w14:textFill>
            <w14:solidFill>
              <w14:schemeClr w14:val="tx1"/>
            </w14:solidFill>
          </w14:textFill>
        </w:rPr>
        <w:t>4.</w:t>
      </w:r>
      <w:r>
        <w:rPr>
          <w:rFonts w:hint="eastAsia" w:eastAsiaTheme="minorEastAsia"/>
          <w:b/>
          <w:bCs/>
          <w:color w:val="000000" w:themeColor="text1"/>
          <w:szCs w:val="21"/>
          <w:highlight w:val="none"/>
          <w14:textFill>
            <w14:solidFill>
              <w14:schemeClr w14:val="tx1"/>
            </w14:solidFill>
          </w14:textFill>
        </w:rPr>
        <w:t>2</w:t>
      </w:r>
      <w:r>
        <w:rPr>
          <w:rFonts w:eastAsiaTheme="minorEastAsia"/>
          <w:b/>
          <w:bCs/>
          <w:color w:val="000000" w:themeColor="text1"/>
          <w:szCs w:val="21"/>
          <w:highlight w:val="none"/>
          <w14:textFill>
            <w14:solidFill>
              <w14:schemeClr w14:val="tx1"/>
            </w14:solidFill>
          </w14:textFill>
        </w:rPr>
        <w:t>响应文件的修改与撤回</w:t>
      </w:r>
      <w:bookmarkEnd w:id="77"/>
      <w:bookmarkEnd w:id="78"/>
    </w:p>
    <w:p w14:paraId="60D3729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在本章第4.</w:t>
      </w:r>
      <w:r>
        <w:rPr>
          <w:rFonts w:hint="eastAsia" w:eastAsiaTheme="minorEastAsia"/>
          <w:color w:val="000000" w:themeColor="text1"/>
          <w:szCs w:val="21"/>
          <w:highlight w:val="none"/>
          <w14:textFill>
            <w14:solidFill>
              <w14:schemeClr w14:val="tx1"/>
            </w14:solidFill>
          </w14:textFill>
        </w:rPr>
        <w:t>1</w:t>
      </w:r>
      <w:r>
        <w:rPr>
          <w:rFonts w:eastAsiaTheme="minorEastAsia"/>
          <w:color w:val="000000" w:themeColor="text1"/>
          <w:szCs w:val="21"/>
          <w:highlight w:val="none"/>
          <w14:textFill>
            <w14:solidFill>
              <w14:schemeClr w14:val="tx1"/>
            </w14:solidFill>
          </w14:textFill>
        </w:rPr>
        <w:t>项规定的</w:t>
      </w:r>
      <w:r>
        <w:rPr>
          <w:rFonts w:eastAsiaTheme="minorEastAsia"/>
          <w:b/>
          <w:bCs/>
          <w:color w:val="000000" w:themeColor="text1"/>
          <w:szCs w:val="21"/>
          <w:highlight w:val="none"/>
          <w14:textFill>
            <w14:solidFill>
              <w14:schemeClr w14:val="tx1"/>
            </w14:solidFill>
          </w14:textFill>
        </w:rPr>
        <w:t>响应文件递交截止</w:t>
      </w:r>
      <w:r>
        <w:rPr>
          <w:rFonts w:eastAsiaTheme="minorEastAsia"/>
          <w:color w:val="000000" w:themeColor="text1"/>
          <w:szCs w:val="21"/>
          <w:highlight w:val="none"/>
          <w14:textFill>
            <w14:solidFill>
              <w14:schemeClr w14:val="tx1"/>
            </w14:solidFill>
          </w14:textFill>
        </w:rPr>
        <w:t>时间前，供应商可以修改或撤回已递交的响应文件。</w:t>
      </w:r>
      <w:bookmarkEnd w:id="13"/>
      <w:bookmarkEnd w:id="14"/>
      <w:bookmarkEnd w:id="15"/>
      <w:bookmarkEnd w:id="16"/>
      <w:bookmarkEnd w:id="17"/>
      <w:bookmarkEnd w:id="18"/>
    </w:p>
    <w:p w14:paraId="4C163622">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79" w:name="_Toc13113"/>
      <w:bookmarkStart w:id="80" w:name="_Toc247527584"/>
      <w:bookmarkStart w:id="81" w:name="_Toc152042335"/>
      <w:bookmarkStart w:id="82" w:name="_Toc152045559"/>
      <w:bookmarkStart w:id="83" w:name="_Toc443200841"/>
      <w:bookmarkStart w:id="84" w:name="_Toc247513983"/>
      <w:bookmarkStart w:id="85" w:name="_Toc144974527"/>
      <w:r>
        <w:rPr>
          <w:rFonts w:ascii="Times New Roman" w:hAnsi="Times New Roman" w:eastAsiaTheme="minorEastAsia"/>
          <w:color w:val="000000" w:themeColor="text1"/>
          <w:sz w:val="21"/>
          <w:szCs w:val="21"/>
          <w:highlight w:val="none"/>
          <w14:textFill>
            <w14:solidFill>
              <w14:schemeClr w14:val="tx1"/>
            </w14:solidFill>
          </w14:textFill>
        </w:rPr>
        <w:t>五、谈判与评审</w:t>
      </w:r>
      <w:bookmarkEnd w:id="79"/>
    </w:p>
    <w:bookmarkEnd w:id="80"/>
    <w:bookmarkEnd w:id="81"/>
    <w:bookmarkEnd w:id="82"/>
    <w:bookmarkEnd w:id="83"/>
    <w:bookmarkEnd w:id="84"/>
    <w:bookmarkEnd w:id="85"/>
    <w:p w14:paraId="19A94673">
      <w:pPr>
        <w:spacing w:line="360" w:lineRule="exact"/>
        <w:ind w:firstLine="0" w:firstLineChars="0"/>
        <w:jc w:val="left"/>
        <w:rPr>
          <w:rFonts w:eastAsiaTheme="minorEastAsia"/>
          <w:bCs/>
          <w:color w:val="000000" w:themeColor="text1"/>
          <w:szCs w:val="21"/>
          <w:highlight w:val="none"/>
          <w14:textFill>
            <w14:solidFill>
              <w14:schemeClr w14:val="tx1"/>
            </w14:solidFill>
          </w14:textFill>
        </w:rPr>
      </w:pPr>
      <w:bookmarkStart w:id="86" w:name="_Toc389065175"/>
      <w:bookmarkStart w:id="87" w:name="_Toc520410600"/>
      <w:r>
        <w:rPr>
          <w:rFonts w:eastAsiaTheme="minorEastAsia"/>
          <w:b/>
          <w:color w:val="000000" w:themeColor="text1"/>
          <w:szCs w:val="21"/>
          <w:highlight w:val="none"/>
          <w14:textFill>
            <w14:solidFill>
              <w14:schemeClr w14:val="tx1"/>
            </w14:solidFill>
          </w14:textFill>
        </w:rPr>
        <w:t>5.1</w:t>
      </w:r>
      <w:bookmarkEnd w:id="86"/>
      <w:bookmarkEnd w:id="87"/>
      <w:bookmarkStart w:id="88" w:name="_Toc520410601"/>
      <w:bookmarkStart w:id="89" w:name="_Toc389065176"/>
      <w:r>
        <w:rPr>
          <w:rFonts w:eastAsiaTheme="minorEastAsia"/>
          <w:b/>
          <w:color w:val="000000" w:themeColor="text1"/>
          <w:szCs w:val="21"/>
          <w:highlight w:val="none"/>
          <w14:textFill>
            <w14:solidFill>
              <w14:schemeClr w14:val="tx1"/>
            </w14:solidFill>
          </w14:textFill>
        </w:rPr>
        <w:t>谈判时间、地点和供应商参会代表：</w:t>
      </w:r>
    </w:p>
    <w:p w14:paraId="485F7D0F">
      <w:pPr>
        <w:spacing w:line="360" w:lineRule="exact"/>
        <w:ind w:firstLine="420"/>
        <w:jc w:val="left"/>
        <w:rPr>
          <w:rFonts w:eastAsiaTheme="minorEastAsia"/>
          <w:bCs/>
          <w:color w:val="000000" w:themeColor="text1"/>
          <w:szCs w:val="21"/>
          <w:highlight w:val="none"/>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5.1.1谈判时间和地点：详见</w:t>
      </w:r>
      <w:r>
        <w:rPr>
          <w:rFonts w:hint="eastAsia" w:eastAsiaTheme="minorEastAsia"/>
          <w:bCs/>
          <w:color w:val="000000" w:themeColor="text1"/>
          <w:szCs w:val="21"/>
          <w:highlight w:val="none"/>
          <w:lang w:eastAsia="zh-CN"/>
          <w14:textFill>
            <w14:solidFill>
              <w14:schemeClr w14:val="tx1"/>
            </w14:solidFill>
          </w14:textFill>
        </w:rPr>
        <w:t>“</w:t>
      </w:r>
      <w:r>
        <w:rPr>
          <w:rFonts w:eastAsiaTheme="minorEastAsia"/>
          <w:bCs/>
          <w:color w:val="000000" w:themeColor="text1"/>
          <w:szCs w:val="21"/>
          <w:highlight w:val="none"/>
          <w14:textFill>
            <w14:solidFill>
              <w14:schemeClr w14:val="tx1"/>
            </w14:solidFill>
          </w14:textFill>
        </w:rPr>
        <w:t>供应商须知前附表</w:t>
      </w:r>
      <w:r>
        <w:rPr>
          <w:rFonts w:hint="eastAsia" w:eastAsiaTheme="minorEastAsia"/>
          <w:bCs/>
          <w:color w:val="000000" w:themeColor="text1"/>
          <w:szCs w:val="21"/>
          <w:highlight w:val="none"/>
          <w:lang w:eastAsia="zh-CN"/>
          <w14:textFill>
            <w14:solidFill>
              <w14:schemeClr w14:val="tx1"/>
            </w14:solidFill>
          </w14:textFill>
        </w:rPr>
        <w:t>”</w:t>
      </w:r>
      <w:r>
        <w:rPr>
          <w:rFonts w:eastAsiaTheme="minorEastAsia"/>
          <w:bCs/>
          <w:color w:val="000000" w:themeColor="text1"/>
          <w:szCs w:val="21"/>
          <w:highlight w:val="none"/>
          <w14:textFill>
            <w14:solidFill>
              <w14:schemeClr w14:val="tx1"/>
            </w14:solidFill>
          </w14:textFill>
        </w:rPr>
        <w:t>。</w:t>
      </w:r>
    </w:p>
    <w:p w14:paraId="62CE3FF7">
      <w:pPr>
        <w:spacing w:line="360" w:lineRule="exact"/>
        <w:ind w:firstLine="420"/>
        <w:jc w:val="left"/>
        <w:rPr>
          <w:rFonts w:eastAsiaTheme="minorEastAsia"/>
          <w:bCs/>
          <w:color w:val="000000" w:themeColor="text1"/>
          <w:szCs w:val="21"/>
          <w:highlight w:val="none"/>
          <w14:textFill>
            <w14:solidFill>
              <w14:schemeClr w14:val="tx1"/>
            </w14:solidFill>
          </w14:textFill>
        </w:rPr>
      </w:pPr>
      <w:r>
        <w:rPr>
          <w:rFonts w:eastAsiaTheme="minorEastAsia"/>
          <w:bCs/>
          <w:color w:val="000000" w:themeColor="text1"/>
          <w:szCs w:val="21"/>
          <w:highlight w:val="none"/>
          <w14:textFill>
            <w14:solidFill>
              <w14:schemeClr w14:val="tx1"/>
            </w14:solidFill>
          </w14:textFill>
        </w:rPr>
        <w:t>5.1.2参加谈判会议的供应商代表：详见</w:t>
      </w:r>
      <w:r>
        <w:rPr>
          <w:rFonts w:hint="eastAsia" w:eastAsiaTheme="minorEastAsia"/>
          <w:bCs/>
          <w:color w:val="000000" w:themeColor="text1"/>
          <w:szCs w:val="21"/>
          <w:highlight w:val="none"/>
          <w:lang w:eastAsia="zh-CN"/>
          <w14:textFill>
            <w14:solidFill>
              <w14:schemeClr w14:val="tx1"/>
            </w14:solidFill>
          </w14:textFill>
        </w:rPr>
        <w:t>“</w:t>
      </w:r>
      <w:r>
        <w:rPr>
          <w:rFonts w:eastAsiaTheme="minorEastAsia"/>
          <w:bCs/>
          <w:color w:val="000000" w:themeColor="text1"/>
          <w:szCs w:val="21"/>
          <w:highlight w:val="none"/>
          <w14:textFill>
            <w14:solidFill>
              <w14:schemeClr w14:val="tx1"/>
            </w14:solidFill>
          </w14:textFill>
        </w:rPr>
        <w:t>供应商须知前附表</w:t>
      </w:r>
      <w:r>
        <w:rPr>
          <w:rFonts w:hint="eastAsia" w:eastAsiaTheme="minorEastAsia"/>
          <w:bCs/>
          <w:color w:val="000000" w:themeColor="text1"/>
          <w:szCs w:val="21"/>
          <w:highlight w:val="none"/>
          <w:lang w:eastAsia="zh-CN"/>
          <w14:textFill>
            <w14:solidFill>
              <w14:schemeClr w14:val="tx1"/>
            </w14:solidFill>
          </w14:textFill>
        </w:rPr>
        <w:t>”</w:t>
      </w:r>
      <w:r>
        <w:rPr>
          <w:rFonts w:eastAsiaTheme="minorEastAsia"/>
          <w:bCs/>
          <w:color w:val="000000" w:themeColor="text1"/>
          <w:szCs w:val="21"/>
          <w:highlight w:val="none"/>
          <w14:textFill>
            <w14:solidFill>
              <w14:schemeClr w14:val="tx1"/>
            </w14:solidFill>
          </w14:textFill>
        </w:rPr>
        <w:t>。</w:t>
      </w:r>
    </w:p>
    <w:p w14:paraId="0AC78934">
      <w:pPr>
        <w:spacing w:line="360" w:lineRule="exact"/>
        <w:ind w:firstLine="0" w:firstLineChars="0"/>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5.2谈判程序</w:t>
      </w:r>
    </w:p>
    <w:p w14:paraId="34B5A5BE">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5.2.1谈判程序见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00B66416">
      <w:pPr>
        <w:spacing w:line="360" w:lineRule="exact"/>
        <w:ind w:firstLine="420"/>
        <w:jc w:val="left"/>
        <w:rPr>
          <w:rFonts w:eastAsiaTheme="minorEastAsia"/>
          <w:bCs/>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5.2.2</w:t>
      </w:r>
      <w:r>
        <w:rPr>
          <w:rFonts w:eastAsiaTheme="minorEastAsia"/>
          <w:bCs/>
          <w:color w:val="000000" w:themeColor="text1"/>
          <w:szCs w:val="21"/>
          <w:highlight w:val="none"/>
          <w14:textFill>
            <w14:solidFill>
              <w14:schemeClr w14:val="tx1"/>
            </w14:solidFill>
          </w14:textFill>
        </w:rPr>
        <w:t>如果采购人开启二次报价，则供应商需要进行二次报价，二次报价报完后，等待采购人公布最终谈判结果。</w:t>
      </w:r>
    </w:p>
    <w:p w14:paraId="217137AC">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5.</w:t>
      </w:r>
      <w:bookmarkEnd w:id="88"/>
      <w:r>
        <w:rPr>
          <w:rFonts w:eastAsiaTheme="minorEastAsia"/>
          <w:b/>
          <w:bCs/>
          <w:color w:val="000000" w:themeColor="text1"/>
          <w:szCs w:val="21"/>
          <w:highlight w:val="none"/>
          <w14:textFill>
            <w14:solidFill>
              <w14:schemeClr w14:val="tx1"/>
            </w14:solidFill>
          </w14:textFill>
        </w:rPr>
        <w:t>3特殊情况处理</w:t>
      </w:r>
    </w:p>
    <w:bookmarkEnd w:id="89"/>
    <w:p w14:paraId="6509AEB1">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供应商对谈判活动过程有异议的，应当在现场提出，采购人或代理机构应当场作出答复，并</w:t>
      </w:r>
      <w:r>
        <w:rPr>
          <w:rFonts w:hint="eastAsia" w:eastAsiaTheme="minorEastAsia"/>
          <w:color w:val="000000" w:themeColor="text1"/>
          <w:szCs w:val="21"/>
          <w:highlight w:val="none"/>
          <w:lang w:eastAsia="zh-CN"/>
          <w14:textFill>
            <w14:solidFill>
              <w14:schemeClr w14:val="tx1"/>
            </w14:solidFill>
          </w14:textFill>
        </w:rPr>
        <w:t>做</w:t>
      </w:r>
      <w:r>
        <w:rPr>
          <w:rFonts w:eastAsiaTheme="minorEastAsia"/>
          <w:color w:val="000000" w:themeColor="text1"/>
          <w:szCs w:val="21"/>
          <w:highlight w:val="none"/>
          <w14:textFill>
            <w14:solidFill>
              <w14:schemeClr w14:val="tx1"/>
            </w14:solidFill>
          </w14:textFill>
        </w:rPr>
        <w:t>书面记录，谈判活动结束后供应商再对谈判过程提出异议的，采购人不再受理。</w:t>
      </w:r>
    </w:p>
    <w:p w14:paraId="70EEFC03">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5.</w:t>
      </w:r>
      <w:bookmarkStart w:id="90" w:name="_Toc520410603"/>
      <w:bookmarkStart w:id="91" w:name="_Toc389065178"/>
      <w:r>
        <w:rPr>
          <w:rFonts w:eastAsiaTheme="minorEastAsia"/>
          <w:b/>
          <w:bCs/>
          <w:color w:val="000000" w:themeColor="text1"/>
          <w:szCs w:val="21"/>
          <w:highlight w:val="none"/>
          <w14:textFill>
            <w14:solidFill>
              <w14:schemeClr w14:val="tx1"/>
            </w14:solidFill>
          </w14:textFill>
        </w:rPr>
        <w:t>4谈判评审小组</w:t>
      </w:r>
      <w:bookmarkEnd w:id="90"/>
      <w:bookmarkEnd w:id="91"/>
    </w:p>
    <w:p w14:paraId="53BE48B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5.4.1 评审工作由采购人依法组建的谈判评审小组负责。评审小组成员人数以及小组成员的确定方式见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w:t>
      </w:r>
    </w:p>
    <w:p w14:paraId="63A6C31B">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5.4.2 评审小组成员有下列情形之一的，应当回避：</w:t>
      </w:r>
      <w:bookmarkStart w:id="92" w:name="_Toc389065179"/>
    </w:p>
    <w:p w14:paraId="7C7EAB8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（1）供应商或供应商的主要负责人的近亲属；</w:t>
      </w:r>
    </w:p>
    <w:p w14:paraId="1A56E421">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（2）与供应商有经济利益关系，可能影响对谈判公正评审的；</w:t>
      </w:r>
    </w:p>
    <w:p w14:paraId="42EA940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（3）曾因在采购有关活动中从事违法行为而受过行政处罚或刑事处罚的。</w:t>
      </w:r>
    </w:p>
    <w:p w14:paraId="011E5224">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bookmarkStart w:id="93" w:name="_Toc520410604"/>
      <w:r>
        <w:rPr>
          <w:rFonts w:eastAsiaTheme="minorEastAsia"/>
          <w:b/>
          <w:bCs/>
          <w:color w:val="000000" w:themeColor="text1"/>
          <w:szCs w:val="21"/>
          <w:highlight w:val="none"/>
          <w14:textFill>
            <w14:solidFill>
              <w14:schemeClr w14:val="tx1"/>
            </w14:solidFill>
          </w14:textFill>
        </w:rPr>
        <w:t>5.5评审原则</w:t>
      </w:r>
      <w:bookmarkEnd w:id="92"/>
      <w:bookmarkEnd w:id="93"/>
    </w:p>
    <w:p w14:paraId="1A858F31">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评审活动遵循公平、公正、科学和择优的原则。</w:t>
      </w:r>
    </w:p>
    <w:p w14:paraId="24D56DA6">
      <w:pPr>
        <w:spacing w:line="360" w:lineRule="exact"/>
        <w:ind w:firstLine="0" w:firstLineChars="0"/>
        <w:jc w:val="left"/>
        <w:rPr>
          <w:rFonts w:eastAsiaTheme="minorEastAsia"/>
          <w:b/>
          <w:bCs/>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5.6评审</w:t>
      </w:r>
    </w:p>
    <w:p w14:paraId="6B7CA11E">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评审小组按照第三章</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评审办法</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规定的方法、评审因素、标准和程序对响应文件进行评审并推荐成交候选人，推荐成交候选人的人数见</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。第三章</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评审办法</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没有规定的方法、评审因素和标准，不作为评审依据。</w:t>
      </w:r>
    </w:p>
    <w:p w14:paraId="2B4E4799">
      <w:pPr>
        <w:pStyle w:val="3"/>
        <w:spacing w:before="0" w:after="0" w:line="360" w:lineRule="exact"/>
        <w:ind w:firstLine="0" w:firstLineChars="0"/>
        <w:jc w:val="left"/>
        <w:rPr>
          <w:rFonts w:ascii="Times New Roman" w:hAnsi="Times New Roman" w:eastAsiaTheme="minorEastAsia"/>
          <w:b w:val="0"/>
          <w:bCs/>
          <w:color w:val="000000" w:themeColor="text1"/>
          <w:sz w:val="21"/>
          <w:szCs w:val="21"/>
          <w:highlight w:val="none"/>
          <w14:textFill>
            <w14:solidFill>
              <w14:schemeClr w14:val="tx1"/>
            </w14:solidFill>
          </w14:textFill>
        </w:rPr>
      </w:pPr>
      <w:bookmarkStart w:id="94" w:name="_Toc28821"/>
      <w:r>
        <w:rPr>
          <w:rFonts w:ascii="Times New Roman" w:hAnsi="Times New Roman" w:eastAsiaTheme="minorEastAsia"/>
          <w:color w:val="000000" w:themeColor="text1"/>
          <w:sz w:val="21"/>
          <w:szCs w:val="21"/>
          <w:highlight w:val="none"/>
          <w14:textFill>
            <w14:solidFill>
              <w14:schemeClr w14:val="tx1"/>
            </w14:solidFill>
          </w14:textFill>
        </w:rPr>
        <w:t>六、成交结果公示</w:t>
      </w:r>
      <w:bookmarkEnd w:id="94"/>
    </w:p>
    <w:p w14:paraId="130C55F9">
      <w:pPr>
        <w:spacing w:line="360" w:lineRule="exact"/>
        <w:ind w:firstLine="422"/>
        <w:jc w:val="left"/>
        <w:rPr>
          <w:rFonts w:eastAsiaTheme="minorEastAsia"/>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6.1</w:t>
      </w:r>
      <w:r>
        <w:rPr>
          <w:rFonts w:eastAsiaTheme="minorEastAsia"/>
          <w:color w:val="000000" w:themeColor="text1"/>
          <w:szCs w:val="21"/>
          <w:highlight w:val="none"/>
          <w14:textFill>
            <w14:solidFill>
              <w14:schemeClr w14:val="tx1"/>
            </w14:solidFill>
          </w14:textFill>
        </w:rPr>
        <w:t>采购人在收到评审报告之日起3日内在本采购项目</w:t>
      </w:r>
      <w:r>
        <w:rPr>
          <w:rFonts w:hint="eastAsia" w:eastAsiaTheme="minorEastAsia"/>
          <w:color w:val="000000" w:themeColor="text1"/>
          <w:szCs w:val="21"/>
          <w:highlight w:val="none"/>
          <w:lang w:eastAsia="zh-CN"/>
          <w14:textFill>
            <w14:solidFill>
              <w14:schemeClr w14:val="tx1"/>
            </w14:solidFill>
          </w14:textFill>
        </w:rPr>
        <w:t>邀请竞争性谈判</w:t>
      </w:r>
      <w:r>
        <w:rPr>
          <w:rFonts w:eastAsiaTheme="minorEastAsia"/>
          <w:color w:val="000000" w:themeColor="text1"/>
          <w:szCs w:val="21"/>
          <w:highlight w:val="none"/>
          <w14:textFill>
            <w14:solidFill>
              <w14:schemeClr w14:val="tx1"/>
            </w14:solidFill>
          </w14:textFill>
        </w:rPr>
        <w:t>发布的同一媒介发布成交结果公示，公示期不少于3日。</w:t>
      </w:r>
    </w:p>
    <w:p w14:paraId="42E4B69C">
      <w:pPr>
        <w:spacing w:line="360" w:lineRule="exact"/>
        <w:ind w:firstLine="422"/>
        <w:jc w:val="left"/>
        <w:rPr>
          <w:rFonts w:eastAsiaTheme="minorEastAsia"/>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6.2</w:t>
      </w:r>
      <w:r>
        <w:rPr>
          <w:rFonts w:eastAsiaTheme="minorEastAsia"/>
          <w:color w:val="000000" w:themeColor="text1"/>
          <w:szCs w:val="21"/>
          <w:highlight w:val="none"/>
          <w14:textFill>
            <w14:solidFill>
              <w14:schemeClr w14:val="tx1"/>
            </w14:solidFill>
          </w14:textFill>
        </w:rPr>
        <w:t>公示内容包括成交供应商名称、项目负责人（经理）、成交价格、工期及评审小组评审情况。</w:t>
      </w:r>
    </w:p>
    <w:p w14:paraId="5A900326">
      <w:pPr>
        <w:spacing w:line="360" w:lineRule="exact"/>
        <w:ind w:firstLine="422"/>
        <w:jc w:val="left"/>
        <w:rPr>
          <w:rFonts w:eastAsiaTheme="minorEastAsia"/>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6.3</w:t>
      </w:r>
      <w:r>
        <w:rPr>
          <w:rFonts w:eastAsiaTheme="minorEastAsia"/>
          <w:color w:val="000000" w:themeColor="text1"/>
          <w:szCs w:val="21"/>
          <w:highlight w:val="none"/>
          <w14:textFill>
            <w14:solidFill>
              <w14:schemeClr w14:val="tx1"/>
            </w14:solidFill>
          </w14:textFill>
        </w:rPr>
        <w:t>供应商或者其他利害关系人对评审结果有异议的，应当在公示期间提出。采购人自收到异议之日起3日内作出答复。</w:t>
      </w:r>
    </w:p>
    <w:p w14:paraId="105C379C">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95" w:name="_Toc520410607"/>
      <w:bookmarkStart w:id="96" w:name="_Toc27194"/>
      <w:r>
        <w:rPr>
          <w:rFonts w:ascii="Times New Roman" w:hAnsi="Times New Roman" w:eastAsiaTheme="minorEastAsia"/>
          <w:color w:val="000000" w:themeColor="text1"/>
          <w:sz w:val="21"/>
          <w:szCs w:val="21"/>
          <w:highlight w:val="none"/>
          <w14:textFill>
            <w14:solidFill>
              <w14:schemeClr w14:val="tx1"/>
            </w14:solidFill>
          </w14:textFill>
        </w:rPr>
        <w:t>七、</w:t>
      </w:r>
      <w:bookmarkEnd w:id="95"/>
      <w:r>
        <w:rPr>
          <w:rFonts w:ascii="Times New Roman" w:hAnsi="Times New Roman" w:eastAsiaTheme="minorEastAsia"/>
          <w:color w:val="000000" w:themeColor="text1"/>
          <w:sz w:val="21"/>
          <w:szCs w:val="21"/>
          <w:highlight w:val="none"/>
          <w14:textFill>
            <w14:solidFill>
              <w14:schemeClr w14:val="tx1"/>
            </w14:solidFill>
          </w14:textFill>
        </w:rPr>
        <w:t>合同授予</w:t>
      </w:r>
      <w:bookmarkEnd w:id="96"/>
    </w:p>
    <w:p w14:paraId="3818D783">
      <w:pPr>
        <w:spacing w:line="360" w:lineRule="exact"/>
        <w:ind w:firstLine="422"/>
        <w:jc w:val="left"/>
        <w:rPr>
          <w:rFonts w:eastAsiaTheme="minorEastAsia"/>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7.1</w:t>
      </w:r>
      <w:r>
        <w:rPr>
          <w:rFonts w:eastAsiaTheme="minorEastAsia"/>
          <w:color w:val="000000" w:themeColor="text1"/>
          <w:szCs w:val="21"/>
          <w:highlight w:val="none"/>
          <w14:textFill>
            <w14:solidFill>
              <w14:schemeClr w14:val="tx1"/>
            </w14:solidFill>
          </w14:textFill>
        </w:rPr>
        <w:t>采购人应当确定谈判评审小组推荐的第一成交候选人为成交供应商。</w:t>
      </w:r>
    </w:p>
    <w:p w14:paraId="781A347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7.2成交结果通知：成交结果公示期满无异议或投诉的，采购人应在5日内按规定的格式以书面形式向成交供应商发出成交通知书。</w:t>
      </w:r>
    </w:p>
    <w:p w14:paraId="4F3DCB3B">
      <w:pPr>
        <w:pStyle w:val="60"/>
        <w:spacing w:line="360" w:lineRule="exact"/>
        <w:ind w:firstLine="422"/>
        <w:rPr>
          <w:rFonts w:cs="Times New Roman" w:eastAsiaTheme="minorEastAsia"/>
          <w:b/>
          <w:bCs/>
          <w:color w:val="000000" w:themeColor="text1"/>
          <w:kern w:val="2"/>
          <w:sz w:val="21"/>
          <w:szCs w:val="21"/>
          <w:highlight w:val="none"/>
          <w14:textFill>
            <w14:solidFill>
              <w14:schemeClr w14:val="tx1"/>
            </w14:solidFill>
          </w14:textFill>
        </w:rPr>
      </w:pPr>
      <w:r>
        <w:rPr>
          <w:rFonts w:cs="Times New Roman" w:eastAsiaTheme="minorEastAsia"/>
          <w:b/>
          <w:bCs/>
          <w:color w:val="000000" w:themeColor="text1"/>
          <w:kern w:val="2"/>
          <w:sz w:val="21"/>
          <w:szCs w:val="21"/>
          <w:highlight w:val="none"/>
          <w14:textFill>
            <w14:solidFill>
              <w14:schemeClr w14:val="tx1"/>
            </w14:solidFill>
          </w14:textFill>
        </w:rPr>
        <w:t>7.3签订合同</w:t>
      </w:r>
    </w:p>
    <w:p w14:paraId="7F5442CD">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7.3.1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5450437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7.3.2排名第一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15163B98">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7.</w:t>
      </w:r>
      <w:r>
        <w:rPr>
          <w:rFonts w:hint="eastAsia" w:ascii="Times New Roman" w:hAnsi="Times New Roman" w:cs="Times New Roman" w:eastAsiaTheme="minorEastAsia"/>
          <w:b/>
          <w:bCs/>
          <w:color w:val="000000" w:themeColor="text1"/>
          <w:kern w:val="2"/>
          <w:sz w:val="21"/>
          <w:szCs w:val="21"/>
          <w:highlight w:val="none"/>
          <w:lang w:val="en-US" w:eastAsia="zh-CN"/>
          <w14:textFill>
            <w14:solidFill>
              <w14:schemeClr w14:val="tx1"/>
            </w14:solidFill>
          </w14:textFill>
        </w:rPr>
        <w:t>4</w:t>
      </w:r>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履约保证金</w:t>
      </w:r>
    </w:p>
    <w:p w14:paraId="0A835147">
      <w:pPr>
        <w:spacing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w:t>
      </w:r>
      <w:r>
        <w:rPr>
          <w:rFonts w:hint="eastAsia" w:eastAsiaTheme="minorEastAsia"/>
          <w:color w:val="000000" w:themeColor="text1"/>
          <w:szCs w:val="21"/>
          <w:highlight w:val="none"/>
          <w:lang w:val="en-US" w:eastAsia="zh-CN"/>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.1履约保证金的形式：现金或银行保函（无条件）；履约保证金用以约束成交供应商在合同履行中的行为，弥补合同执行中由于自身行为可能给采购人带来的各种损失。</w:t>
      </w:r>
    </w:p>
    <w:p w14:paraId="1E8ABF69">
      <w:pPr>
        <w:spacing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w:t>
      </w:r>
      <w:r>
        <w:rPr>
          <w:rFonts w:hint="eastAsia" w:eastAsiaTheme="minorEastAsia"/>
          <w:color w:val="000000" w:themeColor="text1"/>
          <w:szCs w:val="21"/>
          <w:highlight w:val="none"/>
          <w:lang w:val="en-US" w:eastAsia="zh-CN"/>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.2履约保证金：成交供应商在接到采购人发出的成交结果通知书后，</w:t>
      </w:r>
      <w:r>
        <w:rPr>
          <w:rFonts w:hint="eastAsia" w:eastAsiaTheme="minorEastAsia"/>
          <w:color w:val="000000" w:themeColor="text1"/>
          <w:szCs w:val="21"/>
          <w:highlight w:val="none"/>
          <w:lang w:val="en-US" w:eastAsia="zh-CN"/>
          <w14:textFill>
            <w14:solidFill>
              <w14:schemeClr w14:val="tx1"/>
            </w14:solidFill>
          </w14:textFill>
        </w:rPr>
        <w:t>谈判</w:t>
      </w:r>
      <w:r>
        <w:rPr>
          <w:rFonts w:hint="eastAsia" w:eastAsiaTheme="minorEastAsia"/>
          <w:color w:val="000000" w:themeColor="text1"/>
          <w:szCs w:val="21"/>
          <w:highlight w:val="none"/>
          <w14:textFill>
            <w14:solidFill>
              <w14:schemeClr w14:val="tx1"/>
            </w14:solidFill>
          </w14:textFill>
        </w:rPr>
        <w:t>保证金将自动转为履约保证金。</w:t>
      </w:r>
    </w:p>
    <w:p w14:paraId="3EBDF88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7.</w:t>
      </w:r>
      <w:r>
        <w:rPr>
          <w:rFonts w:hint="eastAsia" w:eastAsiaTheme="minorEastAsia"/>
          <w:color w:val="000000" w:themeColor="text1"/>
          <w:szCs w:val="21"/>
          <w:highlight w:val="none"/>
          <w:lang w:val="en-US" w:eastAsia="zh-CN"/>
          <w14:textFill>
            <w14:solidFill>
              <w14:schemeClr w14:val="tx1"/>
            </w14:solidFill>
          </w14:textFill>
        </w:rPr>
        <w:t>4</w:t>
      </w:r>
      <w:r>
        <w:rPr>
          <w:rFonts w:hint="eastAsia" w:eastAsiaTheme="minorEastAsia"/>
          <w:color w:val="000000" w:themeColor="text1"/>
          <w:szCs w:val="21"/>
          <w:highlight w:val="none"/>
          <w14:textFill>
            <w14:solidFill>
              <w14:schemeClr w14:val="tx1"/>
            </w14:solidFill>
          </w14:textFill>
        </w:rPr>
        <w:t>.3本次招标执行苏建规字〔2020〕6号文，采购人根据项目情况有权要求成交供应商在领取中标通知书后30日内，合同签订前向采购人提交差额履约保证金，担保金额为招标控制价和中标价的差值。</w:t>
      </w:r>
    </w:p>
    <w:p w14:paraId="69CD9BF3">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97" w:name="_Toc520410612"/>
      <w:bookmarkStart w:id="98" w:name="_Toc389065192"/>
      <w:bookmarkStart w:id="99" w:name="_Toc9105"/>
      <w:r>
        <w:rPr>
          <w:rFonts w:ascii="Times New Roman" w:hAnsi="Times New Roman" w:eastAsiaTheme="minorEastAsia"/>
          <w:color w:val="000000" w:themeColor="text1"/>
          <w:sz w:val="21"/>
          <w:szCs w:val="21"/>
          <w:highlight w:val="none"/>
          <w14:textFill>
            <w14:solidFill>
              <w14:schemeClr w14:val="tx1"/>
            </w14:solidFill>
          </w14:textFill>
        </w:rPr>
        <w:t>八、纪律和监督</w:t>
      </w:r>
      <w:bookmarkEnd w:id="97"/>
      <w:bookmarkEnd w:id="98"/>
      <w:bookmarkEnd w:id="99"/>
    </w:p>
    <w:p w14:paraId="07CFB6DF">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bookmarkStart w:id="100" w:name="_Toc389065193"/>
      <w:bookmarkStart w:id="101" w:name="_Toc520410613"/>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8.1 对采购人的纪律要求</w:t>
      </w:r>
      <w:bookmarkEnd w:id="100"/>
      <w:bookmarkEnd w:id="101"/>
    </w:p>
    <w:p w14:paraId="2BB28AB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采购人不得泄漏采购活动中应当保密的情况和资料，不得与供应商串通损害国家利益、社会公共利益或者他人合法权益。</w:t>
      </w:r>
    </w:p>
    <w:p w14:paraId="50D94B45">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bookmarkStart w:id="102" w:name="_Toc520410614"/>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8.2 对供应商的纪律要求</w:t>
      </w:r>
      <w:bookmarkEnd w:id="102"/>
    </w:p>
    <w:p w14:paraId="6114E61C">
      <w:pPr>
        <w:spacing w:line="360" w:lineRule="exact"/>
        <w:ind w:firstLine="420" w:firstLineChars="200"/>
        <w:rPr>
          <w:rFonts w:hint="eastAsia"/>
          <w:szCs w:val="21"/>
          <w:highlight w:val="none"/>
        </w:rPr>
      </w:pPr>
      <w:r>
        <w:rPr>
          <w:rFonts w:hint="eastAsia" w:eastAsiaTheme="minorEastAsia"/>
          <w:color w:val="000000" w:themeColor="text1"/>
          <w:szCs w:val="21"/>
          <w:highlight w:val="none"/>
          <w:lang w:val="en-US" w:eastAsia="zh-CN"/>
          <w14:textFill>
            <w14:solidFill>
              <w14:schemeClr w14:val="tx1"/>
            </w14:solidFill>
          </w14:textFill>
        </w:rPr>
        <w:t>8.2.1</w:t>
      </w:r>
      <w:r>
        <w:rPr>
          <w:rFonts w:hint="eastAsia"/>
          <w:szCs w:val="21"/>
          <w:highlight w:val="none"/>
        </w:rPr>
        <w:t>供应商不得相互串通或者与采购人串通参加采购活动，供应商有下列情形之一的，直接视为串通投标。</w:t>
      </w:r>
    </w:p>
    <w:p w14:paraId="296E6E13">
      <w:pPr>
        <w:spacing w:line="360" w:lineRule="exact"/>
        <w:ind w:firstLine="420" w:firstLineChars="200"/>
        <w:rPr>
          <w:rFonts w:hint="eastAsia"/>
          <w:szCs w:val="21"/>
          <w:highlight w:val="none"/>
        </w:rPr>
      </w:pPr>
      <w:r>
        <w:rPr>
          <w:rFonts w:hint="eastAsia"/>
          <w:szCs w:val="21"/>
          <w:highlight w:val="none"/>
        </w:rPr>
        <w:t>（1）不同供应商的响应文件内容异常一致；</w:t>
      </w:r>
    </w:p>
    <w:p w14:paraId="7FCB9CDC">
      <w:pPr>
        <w:spacing w:line="360" w:lineRule="exact"/>
        <w:ind w:firstLine="420" w:firstLineChars="200"/>
        <w:rPr>
          <w:rFonts w:hint="eastAsia"/>
          <w:szCs w:val="21"/>
          <w:highlight w:val="none"/>
        </w:rPr>
      </w:pPr>
      <w:r>
        <w:rPr>
          <w:rFonts w:hint="eastAsia"/>
          <w:szCs w:val="21"/>
          <w:highlight w:val="none"/>
        </w:rPr>
        <w:t>（2）不同供应商的报价或报价组成多处异常且一致或呈现规律性变化；</w:t>
      </w:r>
    </w:p>
    <w:p w14:paraId="51301232">
      <w:pPr>
        <w:spacing w:line="360" w:lineRule="exact"/>
        <w:ind w:firstLine="420" w:firstLineChars="200"/>
        <w:rPr>
          <w:rFonts w:hint="eastAsia"/>
          <w:szCs w:val="21"/>
          <w:highlight w:val="none"/>
        </w:rPr>
      </w:pPr>
      <w:r>
        <w:rPr>
          <w:rFonts w:hint="eastAsia"/>
          <w:szCs w:val="21"/>
          <w:highlight w:val="none"/>
        </w:rPr>
        <w:t>（3）不同供应商的响应文件因非采购人原因</w:t>
      </w:r>
      <w:r>
        <w:rPr>
          <w:rFonts w:hint="eastAsia"/>
          <w:szCs w:val="21"/>
          <w:highlight w:val="none"/>
          <w:lang w:eastAsia="zh-CN"/>
        </w:rPr>
        <w:t>存在</w:t>
      </w:r>
      <w:r>
        <w:rPr>
          <w:rFonts w:hint="eastAsia"/>
          <w:szCs w:val="21"/>
          <w:highlight w:val="none"/>
        </w:rPr>
        <w:t>3处以上错漏内容一致；</w:t>
      </w:r>
    </w:p>
    <w:p w14:paraId="7DDC80D9">
      <w:pPr>
        <w:spacing w:line="360" w:lineRule="exact"/>
        <w:ind w:firstLine="420" w:firstLineChars="200"/>
        <w:rPr>
          <w:rFonts w:hint="eastAsia"/>
          <w:szCs w:val="21"/>
          <w:highlight w:val="none"/>
        </w:rPr>
      </w:pPr>
      <w:r>
        <w:rPr>
          <w:rFonts w:hint="eastAsia"/>
          <w:szCs w:val="21"/>
          <w:highlight w:val="none"/>
        </w:rPr>
        <w:t>（4）不同供应商的响应文件载明的法定代表人或授权委托人或项目组成员为同一人；</w:t>
      </w:r>
    </w:p>
    <w:p w14:paraId="09B450F8">
      <w:pPr>
        <w:spacing w:line="360" w:lineRule="exact"/>
        <w:ind w:firstLine="420" w:firstLineChars="200"/>
        <w:rPr>
          <w:rFonts w:hint="eastAsia"/>
          <w:szCs w:val="21"/>
          <w:highlight w:val="none"/>
        </w:rPr>
      </w:pPr>
      <w:r>
        <w:rPr>
          <w:rFonts w:hint="eastAsia"/>
          <w:szCs w:val="21"/>
          <w:highlight w:val="none"/>
        </w:rPr>
        <w:t>（5）不同供应商的响应文件由同一台电子设备编制、打包、加密、上传、打印或复印；</w:t>
      </w:r>
    </w:p>
    <w:p w14:paraId="62D9F9C6">
      <w:pPr>
        <w:spacing w:line="360" w:lineRule="exact"/>
        <w:ind w:firstLine="420" w:firstLineChars="200"/>
        <w:rPr>
          <w:rFonts w:hint="eastAsia"/>
          <w:szCs w:val="21"/>
          <w:highlight w:val="none"/>
        </w:rPr>
      </w:pPr>
      <w:r>
        <w:rPr>
          <w:rFonts w:hint="eastAsia"/>
          <w:szCs w:val="21"/>
          <w:highlight w:val="none"/>
        </w:rPr>
        <w:t>（6）不同供应商的响应文件提交的IP地址一致；</w:t>
      </w:r>
    </w:p>
    <w:p w14:paraId="00498AD1">
      <w:pPr>
        <w:spacing w:line="360" w:lineRule="exact"/>
        <w:ind w:firstLine="420" w:firstLineChars="200"/>
        <w:rPr>
          <w:rFonts w:hint="eastAsia"/>
          <w:szCs w:val="21"/>
          <w:highlight w:val="none"/>
        </w:rPr>
      </w:pPr>
      <w:r>
        <w:rPr>
          <w:rFonts w:hint="eastAsia"/>
          <w:szCs w:val="21"/>
          <w:highlight w:val="none"/>
        </w:rPr>
        <w:t>（7）不同供应商的采购活动保证金由同一单位或个人账户转出；</w:t>
      </w:r>
    </w:p>
    <w:p w14:paraId="13BA7ED5">
      <w:pPr>
        <w:spacing w:line="360" w:lineRule="exact"/>
        <w:ind w:firstLine="420" w:firstLineChars="200"/>
        <w:rPr>
          <w:rFonts w:hint="eastAsia"/>
          <w:szCs w:val="21"/>
          <w:highlight w:val="none"/>
        </w:rPr>
      </w:pPr>
      <w:r>
        <w:rPr>
          <w:rFonts w:hint="eastAsia"/>
          <w:szCs w:val="21"/>
          <w:highlight w:val="none"/>
        </w:rPr>
        <w:t>（8）不同供应商授权委托同一人参与采购活动；</w:t>
      </w:r>
    </w:p>
    <w:p w14:paraId="082AFB6E">
      <w:pPr>
        <w:spacing w:line="360" w:lineRule="exact"/>
        <w:ind w:firstLine="420" w:firstLineChars="200"/>
        <w:rPr>
          <w:rFonts w:hint="eastAsia"/>
          <w:szCs w:val="21"/>
          <w:highlight w:val="none"/>
        </w:rPr>
      </w:pPr>
      <w:r>
        <w:rPr>
          <w:rFonts w:hint="eastAsia"/>
          <w:szCs w:val="21"/>
          <w:highlight w:val="none"/>
        </w:rPr>
        <w:t>（9）不同供应商聘请同一人为其参与采购活动提供技术或咨询服务（采购活</w:t>
      </w:r>
      <w:r>
        <w:rPr>
          <w:rFonts w:hint="eastAsia"/>
          <w:szCs w:val="21"/>
          <w:highlight w:val="none"/>
          <w:lang w:eastAsia="zh-CN"/>
        </w:rPr>
        <w:t>动有</w:t>
      </w:r>
      <w:r>
        <w:rPr>
          <w:rFonts w:hint="eastAsia"/>
          <w:szCs w:val="21"/>
          <w:highlight w:val="none"/>
        </w:rPr>
        <w:t>特殊要求的除外）；</w:t>
      </w:r>
    </w:p>
    <w:p w14:paraId="63714401">
      <w:pPr>
        <w:spacing w:line="360" w:lineRule="exact"/>
        <w:ind w:firstLine="420" w:firstLineChars="200"/>
        <w:rPr>
          <w:rFonts w:hint="eastAsia"/>
          <w:szCs w:val="21"/>
          <w:highlight w:val="none"/>
        </w:rPr>
      </w:pPr>
      <w:r>
        <w:rPr>
          <w:rFonts w:hint="eastAsia"/>
          <w:szCs w:val="21"/>
          <w:highlight w:val="none"/>
        </w:rPr>
        <w:t>（10）法律、法规规定的其他视为串标、围标的情形。</w:t>
      </w:r>
    </w:p>
    <w:p w14:paraId="7C7F072F">
      <w:pPr>
        <w:spacing w:line="360" w:lineRule="exact"/>
        <w:ind w:firstLine="420" w:firstLineChars="200"/>
        <w:rPr>
          <w:rFonts w:hint="eastAsia"/>
          <w:szCs w:val="21"/>
          <w:highlight w:val="none"/>
        </w:rPr>
      </w:pPr>
      <w:r>
        <w:rPr>
          <w:rFonts w:hint="eastAsia"/>
          <w:szCs w:val="21"/>
          <w:highlight w:val="none"/>
        </w:rPr>
        <w:t>8.2.2供应商不得向采购人或者磋商评审小组成员行贿谋取成交，不得以他人名义参加磋商或者以其他方式弄虚作假骗取成交。</w:t>
      </w:r>
    </w:p>
    <w:p w14:paraId="0E86DDCD">
      <w:pPr>
        <w:spacing w:line="360" w:lineRule="exact"/>
        <w:ind w:firstLine="420" w:firstLineChars="200"/>
        <w:jc w:val="left"/>
        <w:rPr>
          <w:rFonts w:ascii="Times New Roman" w:hAnsi="Times New Roman" w:cs="Times New Roman" w:eastAsiaTheme="minorEastAsia"/>
          <w:color w:val="000000" w:themeColor="text1"/>
          <w:szCs w:val="21"/>
          <w:highlight w:val="none"/>
          <w14:textFill>
            <w14:solidFill>
              <w14:schemeClr w14:val="tx1"/>
            </w14:solidFill>
          </w14:textFill>
        </w:rPr>
      </w:pPr>
      <w:r>
        <w:rPr>
          <w:rFonts w:hint="eastAsia"/>
          <w:szCs w:val="21"/>
          <w:highlight w:val="none"/>
        </w:rPr>
        <w:t>8.2.3供应商不得以任何方式干扰、影响评审工作。在响应文件的审查、澄清、评价和比较以及授予合同过程中，供应商对采购人和评审小组成员施加影响的任何行为，都将导致取消其成交供应商资格</w:t>
      </w:r>
      <w:r>
        <w:rPr>
          <w:rFonts w:ascii="Times New Roman" w:hAnsi="Times New Roman" w:cs="Times New Roman" w:eastAsiaTheme="minorEastAsia"/>
          <w:color w:val="000000" w:themeColor="text1"/>
          <w:szCs w:val="21"/>
          <w:highlight w:val="none"/>
          <w14:textFill>
            <w14:solidFill>
              <w14:schemeClr w14:val="tx1"/>
            </w14:solidFill>
          </w14:textFill>
        </w:rPr>
        <w:t>。</w:t>
      </w:r>
    </w:p>
    <w:p w14:paraId="764E8ECD">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bookmarkStart w:id="103" w:name="_Toc520410615"/>
      <w:bookmarkStart w:id="104" w:name="_Toc389065194"/>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8.3 对谈判评审小组成员的纪律要求</w:t>
      </w:r>
      <w:bookmarkEnd w:id="103"/>
      <w:bookmarkEnd w:id="104"/>
    </w:p>
    <w:p w14:paraId="710AE1B9">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评审办法</w:t>
      </w:r>
      <w:r>
        <w:rPr>
          <w:rFonts w:hint="eastAsia" w:eastAsiaTheme="minorEastAsia"/>
          <w:color w:val="000000" w:themeColor="text1"/>
          <w:szCs w:val="21"/>
          <w:highlight w:val="none"/>
          <w:lang w:eastAsia="zh-CN"/>
          <w14:textFill>
            <w14:solidFill>
              <w14:schemeClr w14:val="tx1"/>
            </w14:solidFill>
          </w14:textFill>
        </w:rPr>
        <w:t>”</w:t>
      </w:r>
      <w:r>
        <w:rPr>
          <w:rFonts w:eastAsiaTheme="minorEastAsia"/>
          <w:color w:val="000000" w:themeColor="text1"/>
          <w:szCs w:val="21"/>
          <w:highlight w:val="none"/>
          <w14:textFill>
            <w14:solidFill>
              <w14:schemeClr w14:val="tx1"/>
            </w14:solidFill>
          </w14:textFill>
        </w:rPr>
        <w:t>没有规定的评审因素和标准进行评审。</w:t>
      </w:r>
    </w:p>
    <w:p w14:paraId="4B664AC4">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bookmarkStart w:id="105" w:name="_Toc520410616"/>
      <w:bookmarkStart w:id="106" w:name="_Toc389065195"/>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8.4 对与评审活动有关的工作人员的纪律要求</w:t>
      </w:r>
      <w:bookmarkEnd w:id="105"/>
      <w:bookmarkEnd w:id="106"/>
    </w:p>
    <w:p w14:paraId="24C3CFF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07" w:name="_Toc389065196"/>
    </w:p>
    <w:p w14:paraId="2A714E3F">
      <w:pPr>
        <w:pStyle w:val="60"/>
        <w:spacing w:line="360" w:lineRule="exact"/>
        <w:ind w:firstLine="422"/>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pPr>
      <w:bookmarkStart w:id="108" w:name="_Toc520410617"/>
      <w:r>
        <w:rPr>
          <w:rFonts w:hint="eastAsia" w:ascii="Times New Roman" w:hAnsi="Times New Roman" w:cs="Times New Roman" w:eastAsiaTheme="minorEastAsia"/>
          <w:b/>
          <w:bCs/>
          <w:color w:val="000000" w:themeColor="text1"/>
          <w:kern w:val="2"/>
          <w:sz w:val="21"/>
          <w:szCs w:val="21"/>
          <w:highlight w:val="none"/>
          <w14:textFill>
            <w14:solidFill>
              <w14:schemeClr w14:val="tx1"/>
            </w14:solidFill>
          </w14:textFill>
        </w:rPr>
        <w:t>8.5 异议与投诉</w:t>
      </w:r>
      <w:bookmarkEnd w:id="107"/>
      <w:bookmarkEnd w:id="108"/>
      <w:bookmarkStart w:id="109" w:name="_Toc389065197"/>
    </w:p>
    <w:p w14:paraId="64E7D3C2">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8.5.1供应商或者其他利害关系人对采购项目谈判文件有异议的，应当在提交响应文件截止时间2日前提出。采购人或代理机构应当自收到异议之日起3日内作出答复；作出答复前，应当暂停采购活动。</w:t>
      </w:r>
    </w:p>
    <w:p w14:paraId="7F9FA12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8.5.2供应商或者其他利害关系人对采购项目的评审结果有异议的，应当在成交结果公示期间提出。采购人或代理机构应当自收到异议之日起3日内作出答复；作出答复前，应当暂停采购活动。</w:t>
      </w:r>
    </w:p>
    <w:p w14:paraId="39F4A94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22B2F8F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8.5.4异议时应当提出而未提出的事项，投诉时不予受理；异议、投诉的提出及后续处理须由供应商确定的授权委托代表全程参与，转委托无效。采购人可根据实际情况约谈提出异议、投诉供应商的法定代表人。</w:t>
      </w:r>
    </w:p>
    <w:p w14:paraId="67BE63DD">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8.5.5除8.5.1、8.5.2、8.5.3、8.5.4条要求外，异议与投诉的提出和处理程序应当按照《徐圩新区国有资金采购活动异议和投诉处理操作规则》（可在</w:t>
      </w:r>
      <w:r>
        <w:rPr>
          <w:rFonts w:hint="eastAsia" w:eastAsiaTheme="minorEastAsia"/>
          <w:color w:val="000000" w:themeColor="text1"/>
          <w:szCs w:val="21"/>
          <w:highlight w:val="none"/>
          <w:lang w:eastAsia="zh-CN"/>
          <w14:textFill>
            <w14:solidFill>
              <w14:schemeClr w14:val="tx1"/>
            </w14:solidFill>
          </w14:textFill>
        </w:rPr>
        <w:t>“方洋集团物资采购平台”</w:t>
      </w:r>
      <w:r>
        <w:rPr>
          <w:rFonts w:eastAsiaTheme="minorEastAsia"/>
          <w:color w:val="000000" w:themeColor="text1"/>
          <w:szCs w:val="21"/>
          <w:highlight w:val="none"/>
          <w14:textFill>
            <w14:solidFill>
              <w14:schemeClr w14:val="tx1"/>
            </w14:solidFill>
          </w14:textFill>
        </w:rPr>
        <w:t>下载相关材料）相关要求执行。</w:t>
      </w:r>
    </w:p>
    <w:bookmarkEnd w:id="109"/>
    <w:p w14:paraId="452376EF">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110" w:name="_Toc520410618"/>
      <w:bookmarkStart w:id="111" w:name="_Toc4710"/>
      <w:r>
        <w:rPr>
          <w:rFonts w:ascii="Times New Roman" w:hAnsi="Times New Roman" w:eastAsiaTheme="minorEastAsia"/>
          <w:color w:val="000000" w:themeColor="text1"/>
          <w:sz w:val="21"/>
          <w:szCs w:val="21"/>
          <w:highlight w:val="none"/>
          <w14:textFill>
            <w14:solidFill>
              <w14:schemeClr w14:val="tx1"/>
            </w14:solidFill>
          </w14:textFill>
        </w:rPr>
        <w:t>九、解释权</w:t>
      </w:r>
      <w:bookmarkEnd w:id="110"/>
      <w:bookmarkEnd w:id="111"/>
    </w:p>
    <w:p w14:paraId="0AD2FC0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3BFF7E17">
      <w:pPr>
        <w:pStyle w:val="3"/>
        <w:spacing w:before="0" w:after="0" w:line="360" w:lineRule="exact"/>
        <w:ind w:firstLine="0" w:firstLineChars="0"/>
        <w:jc w:val="left"/>
        <w:rPr>
          <w:rFonts w:ascii="Times New Roman" w:hAnsi="Times New Roman" w:eastAsiaTheme="minorEastAsia"/>
          <w:color w:val="000000" w:themeColor="text1"/>
          <w:sz w:val="21"/>
          <w:szCs w:val="21"/>
          <w:highlight w:val="none"/>
          <w14:textFill>
            <w14:solidFill>
              <w14:schemeClr w14:val="tx1"/>
            </w14:solidFill>
          </w14:textFill>
        </w:rPr>
      </w:pPr>
      <w:bookmarkStart w:id="112" w:name="_Toc520410619"/>
      <w:bookmarkStart w:id="113" w:name="_Toc3147"/>
      <w:r>
        <w:rPr>
          <w:rFonts w:ascii="Times New Roman" w:hAnsi="Times New Roman" w:eastAsiaTheme="minorEastAsia"/>
          <w:color w:val="000000" w:themeColor="text1"/>
          <w:sz w:val="21"/>
          <w:szCs w:val="21"/>
          <w:highlight w:val="none"/>
          <w14:textFill>
            <w14:solidFill>
              <w14:schemeClr w14:val="tx1"/>
            </w14:solidFill>
          </w14:textFill>
        </w:rPr>
        <w:t>十、采购人补充的其他内容</w:t>
      </w:r>
      <w:bookmarkEnd w:id="112"/>
      <w:bookmarkEnd w:id="113"/>
    </w:p>
    <w:p w14:paraId="2B909AF4">
      <w:pPr>
        <w:spacing w:line="360" w:lineRule="exact"/>
        <w:ind w:firstLine="420"/>
        <w:rPr>
          <w:bCs/>
          <w:color w:val="000000" w:themeColor="text1"/>
          <w:szCs w:val="21"/>
          <w:highlight w:val="none"/>
          <w14:textFill>
            <w14:solidFill>
              <w14:schemeClr w14:val="tx1"/>
            </w14:solidFill>
          </w14:textFill>
        </w:rPr>
      </w:pPr>
      <w:bookmarkStart w:id="114" w:name="_Toc12025629"/>
      <w:r>
        <w:rPr>
          <w:rFonts w:hint="eastAsia"/>
          <w:bCs/>
          <w:color w:val="000000" w:themeColor="text1"/>
          <w:szCs w:val="21"/>
          <w:highlight w:val="none"/>
          <w14:textFill>
            <w14:solidFill>
              <w14:schemeClr w14:val="tx1"/>
            </w14:solidFill>
          </w14:textFill>
        </w:rPr>
        <w:t>详见</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供应商须知前附表</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w:t>
      </w:r>
    </w:p>
    <w:p w14:paraId="5BAD7A0B">
      <w:pPr>
        <w:spacing w:line="360" w:lineRule="exact"/>
        <w:ind w:firstLine="420"/>
        <w:rPr>
          <w:bCs/>
          <w:color w:val="000000" w:themeColor="text1"/>
          <w:szCs w:val="21"/>
          <w:highlight w:val="none"/>
          <w14:textFill>
            <w14:solidFill>
              <w14:schemeClr w14:val="tx1"/>
            </w14:solidFill>
          </w14:textFill>
        </w:rPr>
      </w:pPr>
    </w:p>
    <w:p w14:paraId="6426E1BF">
      <w:pPr>
        <w:spacing w:line="360" w:lineRule="exact"/>
        <w:ind w:firstLine="420"/>
        <w:rPr>
          <w:bCs/>
          <w:color w:val="000000" w:themeColor="text1"/>
          <w:szCs w:val="21"/>
          <w:highlight w:val="none"/>
          <w14:textFill>
            <w14:solidFill>
              <w14:schemeClr w14:val="tx1"/>
            </w14:solidFill>
          </w14:textFill>
        </w:rPr>
      </w:pPr>
    </w:p>
    <w:p w14:paraId="740EA96B">
      <w:pPr>
        <w:ind w:firstLine="723"/>
        <w:rPr>
          <w:rFonts w:eastAsia="黑体"/>
          <w:b/>
          <w:color w:val="000000" w:themeColor="text1"/>
          <w:sz w:val="36"/>
          <w:szCs w:val="36"/>
          <w:highlight w:val="none"/>
          <w14:textFill>
            <w14:solidFill>
              <w14:schemeClr w14:val="tx1"/>
            </w14:solidFill>
          </w14:textFill>
        </w:rPr>
      </w:pPr>
      <w:r>
        <w:rPr>
          <w:rFonts w:eastAsia="黑体"/>
          <w:b/>
          <w:color w:val="000000" w:themeColor="text1"/>
          <w:sz w:val="36"/>
          <w:szCs w:val="36"/>
          <w:highlight w:val="none"/>
          <w14:textFill>
            <w14:solidFill>
              <w14:schemeClr w14:val="tx1"/>
            </w14:solidFill>
          </w14:textFill>
        </w:rPr>
        <w:br w:type="page"/>
      </w:r>
    </w:p>
    <w:bookmarkEnd w:id="114"/>
    <w:p w14:paraId="3A47C313">
      <w:pPr>
        <w:pStyle w:val="2"/>
        <w:spacing w:line="400" w:lineRule="atLeast"/>
        <w:ind w:firstLine="0" w:firstLineChars="0"/>
        <w:jc w:val="center"/>
        <w:rPr>
          <w:rFonts w:ascii="Times New Roman" w:hAnsi="Times New Roman"/>
          <w:color w:val="000000" w:themeColor="text1"/>
          <w:highlight w:val="none"/>
          <w14:textFill>
            <w14:solidFill>
              <w14:schemeClr w14:val="tx1"/>
            </w14:solidFill>
          </w14:textFill>
        </w:rPr>
      </w:pPr>
      <w:bookmarkStart w:id="115" w:name="_Toc18077"/>
      <w:bookmarkStart w:id="116" w:name="_Toc12025630"/>
      <w:r>
        <w:rPr>
          <w:rFonts w:ascii="Times New Roman"/>
          <w:color w:val="000000" w:themeColor="text1"/>
          <w:highlight w:val="none"/>
          <w14:textFill>
            <w14:solidFill>
              <w14:schemeClr w14:val="tx1"/>
            </w14:solidFill>
          </w14:textFill>
        </w:rPr>
        <w:t>第三章</w:t>
      </w: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评审办法</w:t>
      </w:r>
      <w:bookmarkEnd w:id="115"/>
      <w:bookmarkStart w:id="117" w:name="_Toc152042376"/>
      <w:bookmarkStart w:id="118" w:name="_Toc246996985"/>
      <w:bookmarkStart w:id="119" w:name="_Toc247085757"/>
      <w:bookmarkStart w:id="120" w:name="_Toc144974566"/>
      <w:bookmarkStart w:id="121" w:name="_Toc246996242"/>
      <w:bookmarkStart w:id="122" w:name="_Toc179632617"/>
      <w:bookmarkStart w:id="123" w:name="_Toc152045599"/>
    </w:p>
    <w:bookmarkEnd w:id="117"/>
    <w:bookmarkEnd w:id="118"/>
    <w:bookmarkEnd w:id="119"/>
    <w:bookmarkEnd w:id="120"/>
    <w:bookmarkEnd w:id="121"/>
    <w:bookmarkEnd w:id="122"/>
    <w:bookmarkEnd w:id="123"/>
    <w:p w14:paraId="1CE5ABCF">
      <w:pPr>
        <w:spacing w:after="100" w:afterAutospacing="1" w:line="400" w:lineRule="atLeast"/>
        <w:ind w:firstLine="480"/>
        <w:rPr>
          <w:color w:val="000000" w:themeColor="text1"/>
          <w:sz w:val="24"/>
          <w:highlight w:val="none"/>
          <w14:textFill>
            <w14:solidFill>
              <w14:schemeClr w14:val="tx1"/>
            </w14:solidFill>
          </w14:textFill>
        </w:rPr>
      </w:pPr>
      <w:bookmarkStart w:id="124" w:name="EBdd50372fb5f147338f0b3ac167590a20"/>
      <w:bookmarkEnd w:id="124"/>
    </w:p>
    <w:p w14:paraId="63D1729D">
      <w:pPr>
        <w:pStyle w:val="3"/>
        <w:spacing w:before="0" w:after="0" w:line="360" w:lineRule="exact"/>
        <w:ind w:firstLine="422"/>
        <w:jc w:val="left"/>
        <w:rPr>
          <w:rFonts w:ascii="Times New Roman" w:hAnsi="Times New Roman" w:eastAsiaTheme="minorEastAsia"/>
          <w:color w:val="000000" w:themeColor="text1"/>
          <w:sz w:val="21"/>
          <w:szCs w:val="21"/>
          <w:highlight w:val="none"/>
          <w14:textFill>
            <w14:solidFill>
              <w14:schemeClr w14:val="tx1"/>
            </w14:solidFill>
          </w14:textFill>
        </w:rPr>
      </w:pPr>
      <w:bookmarkStart w:id="125" w:name="_Toc475027990"/>
      <w:bookmarkStart w:id="126" w:name="_Toc179632618"/>
      <w:bookmarkStart w:id="127" w:name="_Toc246996243"/>
      <w:bookmarkStart w:id="128" w:name="_Toc152042377"/>
      <w:bookmarkStart w:id="129" w:name="_Toc246996986"/>
      <w:bookmarkStart w:id="130" w:name="_Toc520410622"/>
      <w:bookmarkStart w:id="131" w:name="_Toc152045600"/>
      <w:bookmarkStart w:id="132" w:name="_Toc144974567"/>
      <w:bookmarkStart w:id="133" w:name="_Toc247085758"/>
      <w:bookmarkStart w:id="134" w:name="_Toc28180"/>
      <w:bookmarkStart w:id="135" w:name="_Toc354417665"/>
      <w:r>
        <w:rPr>
          <w:rFonts w:ascii="Times New Roman" w:hAnsiTheme="minorEastAsia" w:eastAsiaTheme="minorEastAsia"/>
          <w:color w:val="000000" w:themeColor="text1"/>
          <w:sz w:val="21"/>
          <w:szCs w:val="21"/>
          <w:highlight w:val="none"/>
          <w14:textFill>
            <w14:solidFill>
              <w14:schemeClr w14:val="tx1"/>
            </w14:solidFill>
          </w14:textFill>
        </w:rPr>
        <w:t>一、评审方法</w:t>
      </w:r>
      <w:bookmarkEnd w:id="125"/>
      <w:bookmarkEnd w:id="126"/>
      <w:bookmarkEnd w:id="127"/>
      <w:bookmarkEnd w:id="128"/>
      <w:bookmarkEnd w:id="129"/>
      <w:bookmarkEnd w:id="130"/>
      <w:bookmarkEnd w:id="131"/>
      <w:bookmarkEnd w:id="132"/>
      <w:bookmarkEnd w:id="133"/>
      <w:bookmarkEnd w:id="134"/>
      <w:bookmarkEnd w:id="135"/>
    </w:p>
    <w:p w14:paraId="3B6BA35E">
      <w:pPr>
        <w:spacing w:line="360" w:lineRule="exact"/>
        <w:ind w:firstLine="422"/>
        <w:jc w:val="left"/>
        <w:rPr>
          <w:rFonts w:eastAsiaTheme="minorEastAsia"/>
          <w:b/>
          <w:bCs/>
          <w:color w:val="000000" w:themeColor="text1"/>
          <w:szCs w:val="21"/>
          <w:highlight w:val="none"/>
          <w14:textFill>
            <w14:solidFill>
              <w14:schemeClr w14:val="tx1"/>
            </w14:solidFill>
          </w14:textFill>
        </w:rPr>
      </w:pPr>
      <w:r>
        <w:rPr>
          <w:rFonts w:hAnsiTheme="minorEastAsia" w:eastAsiaTheme="minorEastAsia"/>
          <w:b/>
          <w:color w:val="000000" w:themeColor="text1"/>
          <w:szCs w:val="21"/>
          <w:highlight w:val="none"/>
          <w14:textFill>
            <w14:solidFill>
              <w14:schemeClr w14:val="tx1"/>
            </w14:solidFill>
          </w14:textFill>
        </w:rPr>
        <w:t>本次评审采用经评审的最低价法。评审小组对满足谈判文件实质要求的响应文件，按最终报价由低到高的顺序推荐成交候选人。成交候选人投标报价相等的，由</w:t>
      </w:r>
      <w:r>
        <w:rPr>
          <w:rFonts w:hint="eastAsia" w:hAnsiTheme="minorEastAsia" w:eastAsiaTheme="minorEastAsia"/>
          <w:b/>
          <w:color w:val="000000" w:themeColor="text1"/>
          <w:szCs w:val="21"/>
          <w:highlight w:val="none"/>
          <w14:textFill>
            <w14:solidFill>
              <w14:schemeClr w14:val="tx1"/>
            </w14:solidFill>
          </w14:textFill>
        </w:rPr>
        <w:t>采购</w:t>
      </w:r>
      <w:r>
        <w:rPr>
          <w:rFonts w:hAnsiTheme="minorEastAsia" w:eastAsiaTheme="minorEastAsia"/>
          <w:b/>
          <w:color w:val="000000" w:themeColor="text1"/>
          <w:szCs w:val="21"/>
          <w:highlight w:val="none"/>
          <w14:textFill>
            <w14:solidFill>
              <w14:schemeClr w14:val="tx1"/>
            </w14:solidFill>
          </w14:textFill>
        </w:rPr>
        <w:t>人自行确定次序。</w:t>
      </w:r>
    </w:p>
    <w:p w14:paraId="3D320C9E">
      <w:pPr>
        <w:pStyle w:val="3"/>
        <w:spacing w:before="0" w:after="0" w:line="360" w:lineRule="exact"/>
        <w:ind w:firstLine="422"/>
        <w:jc w:val="left"/>
        <w:rPr>
          <w:rFonts w:ascii="Times New Roman" w:hAnsi="Times New Roman" w:eastAsiaTheme="minorEastAsia"/>
          <w:color w:val="000000" w:themeColor="text1"/>
          <w:sz w:val="21"/>
          <w:szCs w:val="21"/>
          <w:highlight w:val="none"/>
          <w14:textFill>
            <w14:solidFill>
              <w14:schemeClr w14:val="tx1"/>
            </w14:solidFill>
          </w14:textFill>
        </w:rPr>
      </w:pPr>
      <w:bookmarkStart w:id="136" w:name="_Toc152042378"/>
      <w:bookmarkStart w:id="137" w:name="_Toc179632619"/>
      <w:bookmarkStart w:id="138" w:name="_Toc520410623"/>
      <w:bookmarkStart w:id="139" w:name="_Toc354417666"/>
      <w:bookmarkStart w:id="140" w:name="_Toc18710"/>
      <w:bookmarkStart w:id="141" w:name="_Toc246996987"/>
      <w:bookmarkStart w:id="142" w:name="_Toc144974568"/>
      <w:bookmarkStart w:id="143" w:name="_Toc246996244"/>
      <w:bookmarkStart w:id="144" w:name="_Toc152045601"/>
      <w:bookmarkStart w:id="145" w:name="_Toc247085759"/>
      <w:bookmarkStart w:id="146" w:name="_Toc475027991"/>
      <w:r>
        <w:rPr>
          <w:rFonts w:ascii="Times New Roman" w:hAnsiTheme="minorEastAsia" w:eastAsiaTheme="minorEastAsia"/>
          <w:color w:val="000000" w:themeColor="text1"/>
          <w:sz w:val="21"/>
          <w:szCs w:val="21"/>
          <w:highlight w:val="none"/>
          <w14:textFill>
            <w14:solidFill>
              <w14:schemeClr w14:val="tx1"/>
            </w14:solidFill>
          </w14:textFill>
        </w:rPr>
        <w:t>二、评审标准</w:t>
      </w:r>
      <w:bookmarkEnd w:id="136"/>
      <w:bookmarkEnd w:id="137"/>
      <w:bookmarkEnd w:id="138"/>
      <w:bookmarkEnd w:id="139"/>
      <w:bookmarkEnd w:id="140"/>
      <w:bookmarkEnd w:id="141"/>
      <w:bookmarkEnd w:id="142"/>
      <w:bookmarkEnd w:id="143"/>
      <w:bookmarkEnd w:id="144"/>
      <w:bookmarkEnd w:id="145"/>
      <w:bookmarkEnd w:id="146"/>
    </w:p>
    <w:p w14:paraId="407BCE91">
      <w:pPr>
        <w:pStyle w:val="18"/>
        <w:spacing w:after="0" w:line="360" w:lineRule="exact"/>
        <w:ind w:firstLine="422"/>
        <w:jc w:val="left"/>
        <w:rPr>
          <w:rFonts w:eastAsiaTheme="minorEastAsia"/>
          <w:b/>
          <w:color w:val="000000" w:themeColor="text1"/>
          <w:szCs w:val="21"/>
          <w:highlight w:val="none"/>
          <w14:textFill>
            <w14:solidFill>
              <w14:schemeClr w14:val="tx1"/>
            </w14:solidFill>
          </w14:textFill>
        </w:rPr>
      </w:pPr>
      <w:r>
        <w:rPr>
          <w:rFonts w:hint="eastAsia" w:ascii="宋体" w:hAnsi="宋体" w:eastAsiaTheme="minorEastAsia"/>
          <w:b/>
          <w:bCs/>
          <w:szCs w:val="21"/>
          <w:highlight w:val="none"/>
        </w:rPr>
        <w:t>评审</w:t>
      </w:r>
      <w:r>
        <w:rPr>
          <w:rFonts w:hint="eastAsia" w:ascii="宋体" w:hAnsi="宋体"/>
          <w:b/>
          <w:bCs/>
          <w:szCs w:val="21"/>
          <w:highlight w:val="none"/>
        </w:rPr>
        <w:t>入围条件：供应商响应文件响应函中载明的报价高于采购控制价或采购人期望值的，不再进行后续评审。</w:t>
      </w:r>
    </w:p>
    <w:p w14:paraId="7D0B77D0">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2.1</w:t>
      </w:r>
      <w:r>
        <w:rPr>
          <w:rFonts w:hAnsiTheme="minorEastAsia" w:eastAsiaTheme="minorEastAsia"/>
          <w:b/>
          <w:color w:val="000000" w:themeColor="text1"/>
          <w:szCs w:val="21"/>
          <w:highlight w:val="none"/>
          <w14:textFill>
            <w14:solidFill>
              <w14:schemeClr w14:val="tx1"/>
            </w14:solidFill>
          </w14:textFill>
        </w:rPr>
        <w:t>形式评审标准：</w:t>
      </w:r>
    </w:p>
    <w:p w14:paraId="3FEFF10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2.1.1</w:t>
      </w:r>
      <w:r>
        <w:rPr>
          <w:rFonts w:hAnsiTheme="minorEastAsia" w:eastAsiaTheme="minorEastAsia"/>
          <w:color w:val="000000" w:themeColor="text1"/>
          <w:szCs w:val="21"/>
          <w:highlight w:val="none"/>
          <w14:textFill>
            <w14:solidFill>
              <w14:schemeClr w14:val="tx1"/>
            </w14:solidFill>
          </w14:textFill>
        </w:rPr>
        <w:t>供应商名称：是否与营业执照、资质证书一致；</w:t>
      </w:r>
    </w:p>
    <w:p w14:paraId="7C5C53AB">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2.1.2</w:t>
      </w:r>
      <w:r>
        <w:rPr>
          <w:rFonts w:hint="eastAsia" w:hAnsiTheme="minorEastAsia" w:eastAsiaTheme="minorEastAsia"/>
          <w:color w:val="000000" w:themeColor="text1"/>
          <w:szCs w:val="21"/>
          <w:highlight w:val="none"/>
          <w14:textFill>
            <w14:solidFill>
              <w14:schemeClr w14:val="tx1"/>
            </w14:solidFill>
          </w14:textFill>
        </w:rPr>
        <w:t>响应函</w:t>
      </w:r>
      <w:r>
        <w:rPr>
          <w:rFonts w:hAnsiTheme="minorEastAsia" w:eastAsiaTheme="minorEastAsia"/>
          <w:color w:val="000000" w:themeColor="text1"/>
          <w:szCs w:val="21"/>
          <w:highlight w:val="none"/>
          <w14:textFill>
            <w14:solidFill>
              <w14:schemeClr w14:val="tx1"/>
            </w14:solidFill>
          </w14:textFill>
        </w:rPr>
        <w:t>签字盖章：有法定代表人或授权委托人的签字或签章并加盖单位公章。</w:t>
      </w:r>
    </w:p>
    <w:p w14:paraId="6393815B">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2.2</w:t>
      </w:r>
      <w:r>
        <w:rPr>
          <w:rFonts w:hAnsiTheme="minorEastAsia" w:eastAsiaTheme="minorEastAsia"/>
          <w:b/>
          <w:color w:val="000000" w:themeColor="text1"/>
          <w:szCs w:val="21"/>
          <w:highlight w:val="none"/>
          <w14:textFill>
            <w14:solidFill>
              <w14:schemeClr w14:val="tx1"/>
            </w14:solidFill>
          </w14:textFill>
        </w:rPr>
        <w:t>资格评审标准：</w:t>
      </w:r>
    </w:p>
    <w:p w14:paraId="5C8D90C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符合</w:t>
      </w:r>
      <w:r>
        <w:rPr>
          <w:rFonts w:hint="eastAsia" w:eastAsiaTheme="minorEastAsia"/>
          <w:color w:val="000000" w:themeColor="text1"/>
          <w:szCs w:val="21"/>
          <w:highlight w:val="none"/>
          <w:lang w:eastAsia="zh-CN"/>
          <w14:textFill>
            <w14:solidFill>
              <w14:schemeClr w14:val="tx1"/>
            </w14:solidFill>
          </w14:textFill>
        </w:rPr>
        <w:t>“</w:t>
      </w:r>
      <w:r>
        <w:rPr>
          <w:rFonts w:hint="eastAsia" w:hAnsiTheme="minorEastAsia" w:eastAsiaTheme="minorEastAsia"/>
          <w:color w:val="000000" w:themeColor="text1"/>
          <w:szCs w:val="21"/>
          <w:highlight w:val="none"/>
          <w:lang w:eastAsia="zh-CN"/>
          <w14:textFill>
            <w14:solidFill>
              <w14:schemeClr w14:val="tx1"/>
            </w14:solidFill>
          </w14:textFill>
        </w:rPr>
        <w:t>邀请竞争性谈判</w:t>
      </w:r>
      <w:r>
        <w:rPr>
          <w:rFonts w:hint="eastAsia" w:hAnsiTheme="minorEastAsia" w:eastAsiaTheme="minorEastAsia"/>
          <w:color w:val="000000" w:themeColor="text1"/>
          <w:szCs w:val="21"/>
          <w:highlight w:val="none"/>
          <w:lang w:val="en-US" w:eastAsia="zh-CN"/>
          <w14:textFill>
            <w14:solidFill>
              <w14:schemeClr w14:val="tx1"/>
            </w14:solidFill>
          </w14:textFill>
        </w:rPr>
        <w:t>公告</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第</w:t>
      </w:r>
      <w:r>
        <w:rPr>
          <w:rFonts w:hint="eastAsia" w:eastAsiaTheme="minorEastAsia"/>
          <w:color w:val="000000" w:themeColor="text1"/>
          <w:szCs w:val="21"/>
          <w:highlight w:val="none"/>
          <w14:textFill>
            <w14:solidFill>
              <w14:schemeClr w14:val="tx1"/>
            </w14:solidFill>
          </w14:textFill>
        </w:rPr>
        <w:t>3</w:t>
      </w:r>
      <w:r>
        <w:rPr>
          <w:rFonts w:hAnsiTheme="minorEastAsia" w:eastAsiaTheme="minorEastAsia"/>
          <w:color w:val="000000" w:themeColor="text1"/>
          <w:szCs w:val="21"/>
          <w:highlight w:val="none"/>
          <w14:textFill>
            <w14:solidFill>
              <w14:schemeClr w14:val="tx1"/>
            </w14:solidFill>
          </w14:textFill>
        </w:rPr>
        <w:t>条规定。</w:t>
      </w:r>
    </w:p>
    <w:p w14:paraId="300F88D6">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2.3</w:t>
      </w:r>
      <w:r>
        <w:rPr>
          <w:rFonts w:hAnsiTheme="minorEastAsia" w:eastAsiaTheme="minorEastAsia"/>
          <w:b/>
          <w:color w:val="000000" w:themeColor="text1"/>
          <w:szCs w:val="21"/>
          <w:highlight w:val="none"/>
          <w14:textFill>
            <w14:solidFill>
              <w14:schemeClr w14:val="tx1"/>
            </w14:solidFill>
          </w14:textFill>
        </w:rPr>
        <w:t>响应性评审标准：</w:t>
      </w:r>
    </w:p>
    <w:p w14:paraId="4739D44E">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2.3.1</w:t>
      </w:r>
      <w:r>
        <w:rPr>
          <w:rFonts w:hAnsiTheme="minorEastAsia" w:eastAsiaTheme="minorEastAsia"/>
          <w:color w:val="000000" w:themeColor="text1"/>
          <w:szCs w:val="21"/>
          <w:highlight w:val="none"/>
          <w14:textFill>
            <w14:solidFill>
              <w14:schemeClr w14:val="tx1"/>
            </w14:solidFill>
          </w14:textFill>
        </w:rPr>
        <w:t>符合第二章</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供应商须知前附表</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内关于</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采购范围</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工期要求</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质量要求</w:t>
      </w:r>
      <w:r>
        <w:rPr>
          <w:rFonts w:hint="eastAsia" w:eastAsiaTheme="minorEastAsia"/>
          <w:color w:val="000000" w:themeColor="text1"/>
          <w:szCs w:val="21"/>
          <w:highlight w:val="none"/>
          <w:lang w:eastAsia="zh-CN"/>
          <w14:textFill>
            <w14:solidFill>
              <w14:schemeClr w14:val="tx1"/>
            </w14:solidFill>
          </w14:textFill>
        </w:rPr>
        <w:t>”</w:t>
      </w:r>
      <w:r>
        <w:rPr>
          <w:rFonts w:hAnsiTheme="minorEastAsia" w:eastAsiaTheme="minorEastAsia"/>
          <w:color w:val="000000" w:themeColor="text1"/>
          <w:szCs w:val="21"/>
          <w:highlight w:val="none"/>
          <w14:textFill>
            <w14:solidFill>
              <w14:schemeClr w14:val="tx1"/>
            </w14:solidFill>
          </w14:textFill>
        </w:rPr>
        <w:t>的规定。</w:t>
      </w:r>
    </w:p>
    <w:p w14:paraId="63803E27">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2.3.2</w:t>
      </w:r>
      <w:r>
        <w:rPr>
          <w:rFonts w:hAnsiTheme="minorEastAsia" w:eastAsiaTheme="minorEastAsia"/>
          <w:color w:val="000000" w:themeColor="text1"/>
          <w:szCs w:val="21"/>
          <w:highlight w:val="none"/>
          <w14:textFill>
            <w14:solidFill>
              <w14:schemeClr w14:val="tx1"/>
            </w14:solidFill>
          </w14:textFill>
        </w:rPr>
        <w:t>其他要求：无本章第</w:t>
      </w:r>
      <w:r>
        <w:rPr>
          <w:rFonts w:hint="eastAsia" w:eastAsiaTheme="minorEastAsia"/>
          <w:color w:val="000000" w:themeColor="text1"/>
          <w:szCs w:val="21"/>
          <w:highlight w:val="none"/>
          <w14:textFill>
            <w14:solidFill>
              <w14:schemeClr w14:val="tx1"/>
            </w14:solidFill>
          </w14:textFill>
        </w:rPr>
        <w:t>3.2.4</w:t>
      </w:r>
      <w:r>
        <w:rPr>
          <w:rFonts w:hAnsiTheme="minorEastAsia" w:eastAsiaTheme="minorEastAsia"/>
          <w:color w:val="000000" w:themeColor="text1"/>
          <w:szCs w:val="21"/>
          <w:highlight w:val="none"/>
          <w14:textFill>
            <w14:solidFill>
              <w14:schemeClr w14:val="tx1"/>
            </w14:solidFill>
          </w14:textFill>
        </w:rPr>
        <w:t>条所列情形。</w:t>
      </w:r>
    </w:p>
    <w:p w14:paraId="244A55F9">
      <w:pPr>
        <w:pStyle w:val="3"/>
        <w:spacing w:before="0" w:after="0" w:line="360" w:lineRule="exact"/>
        <w:ind w:firstLine="422"/>
        <w:jc w:val="left"/>
        <w:rPr>
          <w:rFonts w:ascii="Times New Roman" w:hAnsi="Times New Roman" w:eastAsiaTheme="minorEastAsia"/>
          <w:color w:val="000000" w:themeColor="text1"/>
          <w:sz w:val="21"/>
          <w:szCs w:val="21"/>
          <w:highlight w:val="none"/>
          <w14:textFill>
            <w14:solidFill>
              <w14:schemeClr w14:val="tx1"/>
            </w14:solidFill>
          </w14:textFill>
        </w:rPr>
      </w:pPr>
      <w:bookmarkStart w:id="147" w:name="_Toc144974571"/>
      <w:bookmarkStart w:id="148" w:name="_Toc179632622"/>
      <w:bookmarkStart w:id="149" w:name="_Toc520410627"/>
      <w:bookmarkStart w:id="150" w:name="_Toc246996247"/>
      <w:bookmarkStart w:id="151" w:name="_Toc152042381"/>
      <w:bookmarkStart w:id="152" w:name="_Toc1482"/>
      <w:bookmarkStart w:id="153" w:name="_Toc475027994"/>
      <w:bookmarkStart w:id="154" w:name="_Toc354417669"/>
      <w:bookmarkStart w:id="155" w:name="_Toc247085762"/>
      <w:bookmarkStart w:id="156" w:name="_Toc246996990"/>
      <w:bookmarkStart w:id="157" w:name="_Toc152045604"/>
      <w:r>
        <w:rPr>
          <w:rFonts w:ascii="Times New Roman" w:hAnsiTheme="minorEastAsia" w:eastAsiaTheme="minorEastAsia"/>
          <w:color w:val="000000" w:themeColor="text1"/>
          <w:sz w:val="21"/>
          <w:szCs w:val="21"/>
          <w:highlight w:val="none"/>
          <w14:textFill>
            <w14:solidFill>
              <w14:schemeClr w14:val="tx1"/>
            </w14:solidFill>
          </w14:textFill>
        </w:rPr>
        <w:t>三、评审程序</w:t>
      </w:r>
      <w:bookmarkEnd w:id="147"/>
      <w:bookmarkEnd w:id="148"/>
      <w:bookmarkEnd w:id="149"/>
      <w:bookmarkEnd w:id="150"/>
      <w:bookmarkEnd w:id="151"/>
      <w:bookmarkEnd w:id="152"/>
      <w:bookmarkEnd w:id="153"/>
      <w:bookmarkEnd w:id="154"/>
      <w:bookmarkEnd w:id="155"/>
      <w:bookmarkEnd w:id="156"/>
      <w:bookmarkEnd w:id="157"/>
    </w:p>
    <w:p w14:paraId="690B93D5">
      <w:pPr>
        <w:spacing w:line="360" w:lineRule="exact"/>
        <w:ind w:firstLine="422"/>
        <w:jc w:val="left"/>
        <w:rPr>
          <w:rFonts w:eastAsiaTheme="minorEastAsia"/>
          <w:b/>
          <w:color w:val="000000" w:themeColor="text1"/>
          <w:szCs w:val="21"/>
          <w:highlight w:val="none"/>
          <w14:textFill>
            <w14:solidFill>
              <w14:schemeClr w14:val="tx1"/>
            </w14:solidFill>
          </w14:textFill>
        </w:rPr>
      </w:pPr>
      <w:bookmarkStart w:id="158" w:name="_Toc475027995"/>
      <w:bookmarkStart w:id="159" w:name="_Toc354417670"/>
      <w:bookmarkStart w:id="160" w:name="_Toc520410628"/>
      <w:bookmarkStart w:id="161" w:name="_Toc343525569"/>
      <w:r>
        <w:rPr>
          <w:rFonts w:eastAsiaTheme="minorEastAsia"/>
          <w:b/>
          <w:color w:val="000000" w:themeColor="text1"/>
          <w:szCs w:val="21"/>
          <w:highlight w:val="none"/>
          <w14:textFill>
            <w14:solidFill>
              <w14:schemeClr w14:val="tx1"/>
            </w14:solidFill>
          </w14:textFill>
        </w:rPr>
        <w:t>3.1</w:t>
      </w:r>
      <w:r>
        <w:rPr>
          <w:rFonts w:hAnsiTheme="minorEastAsia" w:eastAsiaTheme="minorEastAsia"/>
          <w:b/>
          <w:color w:val="000000" w:themeColor="text1"/>
          <w:szCs w:val="21"/>
          <w:highlight w:val="none"/>
          <w14:textFill>
            <w14:solidFill>
              <w14:schemeClr w14:val="tx1"/>
            </w14:solidFill>
          </w14:textFill>
        </w:rPr>
        <w:t>评审准备</w:t>
      </w:r>
      <w:bookmarkEnd w:id="158"/>
      <w:bookmarkEnd w:id="159"/>
      <w:bookmarkEnd w:id="160"/>
      <w:bookmarkEnd w:id="161"/>
    </w:p>
    <w:p w14:paraId="68F0E2D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3.1.1</w:t>
      </w:r>
      <w:r>
        <w:rPr>
          <w:rFonts w:hAnsiTheme="minorEastAsia" w:eastAsiaTheme="minorEastAsia"/>
          <w:color w:val="000000" w:themeColor="text1"/>
          <w:szCs w:val="21"/>
          <w:highlight w:val="none"/>
          <w14:textFill>
            <w14:solidFill>
              <w14:schemeClr w14:val="tx1"/>
            </w14:solidFill>
          </w14:textFill>
        </w:rPr>
        <w:t>谈判评审小组的组成及分工：谈判评审小组由徐圩新区评审专家库中随机抽取的评审专家组成。</w:t>
      </w:r>
    </w:p>
    <w:p w14:paraId="524D900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3.1.2</w:t>
      </w:r>
      <w:r>
        <w:rPr>
          <w:rFonts w:hAnsiTheme="minorEastAsia" w:eastAsiaTheme="minorEastAsia"/>
          <w:color w:val="000000" w:themeColor="text1"/>
          <w:kern w:val="0"/>
          <w:szCs w:val="21"/>
          <w:highlight w:val="none"/>
          <w14:textFill>
            <w14:solidFill>
              <w14:schemeClr w14:val="tx1"/>
            </w14:solidFill>
          </w14:textFill>
        </w:rPr>
        <w:t>谈判评审小组成员首先推选一名谈判评审小组负责人，负责评审活动的组织领导工作</w:t>
      </w:r>
      <w:r>
        <w:rPr>
          <w:rFonts w:hAnsiTheme="minorEastAsia" w:eastAsiaTheme="minorEastAsia"/>
          <w:color w:val="000000" w:themeColor="text1"/>
          <w:szCs w:val="21"/>
          <w:highlight w:val="none"/>
          <w14:textFill>
            <w14:solidFill>
              <w14:schemeClr w14:val="tx1"/>
            </w14:solidFill>
          </w14:textFill>
        </w:rPr>
        <w:t>，具有与谈判评审小组其他成员同等的表决权。</w:t>
      </w:r>
    </w:p>
    <w:p w14:paraId="7807ECA1">
      <w:pPr>
        <w:spacing w:line="360" w:lineRule="exact"/>
        <w:ind w:firstLine="420"/>
        <w:jc w:val="left"/>
        <w:rPr>
          <w:rFonts w:eastAsiaTheme="minorEastAsia"/>
          <w:b/>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3.1.3</w:t>
      </w:r>
      <w:r>
        <w:rPr>
          <w:rFonts w:hAnsiTheme="minorEastAsia" w:eastAsiaTheme="minorEastAsia"/>
          <w:color w:val="000000" w:themeColor="text1"/>
          <w:szCs w:val="21"/>
          <w:highlight w:val="none"/>
          <w14:textFill>
            <w14:solidFill>
              <w14:schemeClr w14:val="tx1"/>
            </w14:solidFill>
          </w14:textFill>
        </w:rPr>
        <w:t>采购人或代理机构应向谈判评审小组提供评审所需的信息和数据。谈判评审小组负责人应组织谈判评审小组成员认真研究谈判文件，未在谈判文件中规定的标准和方法不得作为评审的依据。</w:t>
      </w:r>
      <w:bookmarkStart w:id="162" w:name="_Toc520410630"/>
      <w:bookmarkStart w:id="163" w:name="_Toc354417672"/>
      <w:bookmarkStart w:id="164" w:name="_Toc343525571"/>
      <w:bookmarkStart w:id="165" w:name="_Toc475027997"/>
    </w:p>
    <w:p w14:paraId="4388E4D6">
      <w:pPr>
        <w:spacing w:line="360" w:lineRule="exact"/>
        <w:ind w:firstLine="422"/>
        <w:jc w:val="left"/>
        <w:rPr>
          <w:rFonts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3.2</w:t>
      </w:r>
      <w:r>
        <w:rPr>
          <w:rFonts w:hAnsiTheme="minorEastAsia" w:eastAsiaTheme="minorEastAsia"/>
          <w:b/>
          <w:color w:val="000000" w:themeColor="text1"/>
          <w:szCs w:val="21"/>
          <w:highlight w:val="none"/>
          <w14:textFill>
            <w14:solidFill>
              <w14:schemeClr w14:val="tx1"/>
            </w14:solidFill>
          </w14:textFill>
        </w:rPr>
        <w:t>初步评审</w:t>
      </w:r>
      <w:bookmarkEnd w:id="162"/>
      <w:bookmarkEnd w:id="163"/>
      <w:bookmarkEnd w:id="164"/>
      <w:bookmarkEnd w:id="165"/>
    </w:p>
    <w:p w14:paraId="190C65D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3.2.1</w:t>
      </w:r>
      <w:r>
        <w:rPr>
          <w:rFonts w:hAnsiTheme="minorEastAsia" w:eastAsiaTheme="minorEastAsia"/>
          <w:color w:val="000000" w:themeColor="text1"/>
          <w:szCs w:val="21"/>
          <w:highlight w:val="none"/>
          <w14:textFill>
            <w14:solidFill>
              <w14:schemeClr w14:val="tx1"/>
            </w14:solidFill>
          </w14:textFill>
        </w:rPr>
        <w:t>形式性评审</w:t>
      </w:r>
    </w:p>
    <w:p w14:paraId="3D6E762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2.1.</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3DED759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3.2.2</w:t>
      </w:r>
      <w:r>
        <w:rPr>
          <w:rFonts w:hAnsiTheme="minorEastAsia" w:eastAsiaTheme="minorEastAsia"/>
          <w:color w:val="000000" w:themeColor="text1"/>
          <w:szCs w:val="21"/>
          <w:highlight w:val="none"/>
          <w14:textFill>
            <w14:solidFill>
              <w14:schemeClr w14:val="tx1"/>
            </w14:solidFill>
          </w14:textFill>
        </w:rPr>
        <w:t>资格评审</w:t>
      </w:r>
    </w:p>
    <w:p w14:paraId="757666B6">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2.2</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0E84D5D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3.2.3</w:t>
      </w:r>
      <w:r>
        <w:rPr>
          <w:rFonts w:hAnsiTheme="minorEastAsia" w:eastAsiaTheme="minorEastAsia"/>
          <w:color w:val="000000" w:themeColor="text1"/>
          <w:szCs w:val="21"/>
          <w:highlight w:val="none"/>
          <w14:textFill>
            <w14:solidFill>
              <w14:schemeClr w14:val="tx1"/>
            </w14:solidFill>
          </w14:textFill>
        </w:rPr>
        <w:t>响应性评审</w:t>
      </w:r>
    </w:p>
    <w:p w14:paraId="5AC25F1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2.3</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3A0CC90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3.2.4</w:t>
      </w:r>
      <w:r>
        <w:rPr>
          <w:rFonts w:hAnsiTheme="minorEastAsia" w:eastAsiaTheme="minorEastAsia"/>
          <w:color w:val="000000" w:themeColor="text1"/>
          <w:szCs w:val="21"/>
          <w:highlight w:val="none"/>
          <w14:textFill>
            <w14:solidFill>
              <w14:schemeClr w14:val="tx1"/>
            </w14:solidFill>
          </w14:textFill>
        </w:rPr>
        <w:t>供应商有以下情形之一的，其响应文件无效：</w:t>
      </w:r>
    </w:p>
    <w:p w14:paraId="40A87905">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）响应文件中的响应函未加盖供应商的公章；</w:t>
      </w:r>
    </w:p>
    <w:p w14:paraId="53FED07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2</w:t>
      </w:r>
      <w:r>
        <w:rPr>
          <w:rFonts w:hAnsiTheme="minorEastAsia" w:eastAsiaTheme="minorEastAsia"/>
          <w:color w:val="000000" w:themeColor="text1"/>
          <w:szCs w:val="21"/>
          <w:highlight w:val="none"/>
          <w14:textFill>
            <w14:solidFill>
              <w14:schemeClr w14:val="tx1"/>
            </w14:solidFill>
          </w14:textFill>
        </w:rPr>
        <w:t>）响应文件中的响应函无企业法定代表人（或企业法定代表人委托代理人）印章（或签字）的；</w:t>
      </w:r>
    </w:p>
    <w:p w14:paraId="6AD4C42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3</w:t>
      </w:r>
      <w:r>
        <w:rPr>
          <w:rFonts w:hAnsiTheme="minorEastAsia" w:eastAsiaTheme="minorEastAsia"/>
          <w:color w:val="000000" w:themeColor="text1"/>
          <w:szCs w:val="21"/>
          <w:highlight w:val="none"/>
          <w14:textFill>
            <w14:solidFill>
              <w14:schemeClr w14:val="tx1"/>
            </w14:solidFill>
          </w14:textFill>
        </w:rPr>
        <w:t>）如响应函由企业法定代表人委托代理人加盖印章（或签字），企业法定代表人委托代理人没有合法、有效的委托书（原件）的；</w:t>
      </w:r>
    </w:p>
    <w:p w14:paraId="0A78A209">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4</w:t>
      </w:r>
      <w:r>
        <w:rPr>
          <w:rFonts w:hAnsiTheme="minorEastAsia" w:eastAsiaTheme="minorEastAsia"/>
          <w:color w:val="000000" w:themeColor="text1"/>
          <w:szCs w:val="21"/>
          <w:highlight w:val="none"/>
          <w14:textFill>
            <w14:solidFill>
              <w14:schemeClr w14:val="tx1"/>
            </w14:solidFill>
          </w14:textFill>
        </w:rPr>
        <w:t>）供应商资格条件不符合国家有关规定或</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文件</w:t>
      </w:r>
      <w:r>
        <w:rPr>
          <w:rFonts w:hint="eastAsia" w:hAnsiTheme="minorEastAsia" w:eastAsiaTheme="minorEastAsia"/>
          <w:color w:val="000000" w:themeColor="text1"/>
          <w:szCs w:val="21"/>
          <w:highlight w:val="none"/>
          <w14:textFill>
            <w14:solidFill>
              <w14:schemeClr w14:val="tx1"/>
            </w14:solidFill>
          </w14:textFill>
        </w:rPr>
        <w:t>资格</w:t>
      </w:r>
      <w:r>
        <w:rPr>
          <w:rFonts w:hAnsiTheme="minorEastAsia" w:eastAsiaTheme="minorEastAsia"/>
          <w:color w:val="000000" w:themeColor="text1"/>
          <w:szCs w:val="21"/>
          <w:highlight w:val="none"/>
          <w14:textFill>
            <w14:solidFill>
              <w14:schemeClr w14:val="tx1"/>
            </w14:solidFill>
          </w14:textFill>
        </w:rPr>
        <w:t>要求的；</w:t>
      </w:r>
    </w:p>
    <w:p w14:paraId="12DAAC31">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5</w:t>
      </w:r>
      <w:r>
        <w:rPr>
          <w:rFonts w:hAnsiTheme="minorEastAsia" w:eastAsiaTheme="minorEastAsia"/>
          <w:color w:val="000000" w:themeColor="text1"/>
          <w:szCs w:val="21"/>
          <w:highlight w:val="none"/>
          <w14:textFill>
            <w14:solidFill>
              <w14:schemeClr w14:val="tx1"/>
            </w14:solidFill>
          </w14:textFill>
        </w:rPr>
        <w:t>）响应文件递交时供应商代表与响应文件中授权委托代表不是同一人的；</w:t>
      </w:r>
    </w:p>
    <w:p w14:paraId="1023EB13">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（6）组成联合体投标未提供联合体各方共同投标协议的；</w:t>
      </w:r>
    </w:p>
    <w:p w14:paraId="6CEC4B3A">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（7）在同一采购项目中，联合体成员以自己名义单独参加谈判或者参加其他联合体谈判的；</w:t>
      </w:r>
    </w:p>
    <w:p w14:paraId="645B8E81">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（8）报价低于工程成本或者高于采购文件设定的采购控制价；</w:t>
      </w:r>
    </w:p>
    <w:p w14:paraId="2935CD73">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（9）同一供应商提交两个及以上不同的响应文件或者报价，但采购文件要求提交备选投标的除外；</w:t>
      </w:r>
    </w:p>
    <w:p w14:paraId="1B708F17">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（10）响应文件中已标价</w:t>
      </w:r>
      <w:r>
        <w:rPr>
          <w:rFonts w:hint="eastAsia" w:hAnsiTheme="minorEastAsia" w:eastAsiaTheme="minorEastAsia"/>
          <w:color w:val="000000" w:themeColor="text1"/>
          <w:szCs w:val="21"/>
          <w:highlight w:val="none"/>
          <w:lang w:eastAsia="zh-CN"/>
          <w14:textFill>
            <w14:solidFill>
              <w14:schemeClr w14:val="tx1"/>
            </w14:solidFill>
          </w14:textFill>
        </w:rPr>
        <w:t>报价清单</w:t>
      </w:r>
      <w:r>
        <w:rPr>
          <w:rFonts w:hint="eastAsia" w:hAnsiTheme="minorEastAsia" w:eastAsiaTheme="minorEastAsia"/>
          <w:color w:val="000000" w:themeColor="text1"/>
          <w:szCs w:val="21"/>
          <w:highlight w:val="none"/>
          <w14:textFill>
            <w14:solidFill>
              <w14:schemeClr w14:val="tx1"/>
            </w14:solidFill>
          </w14:textFill>
        </w:rPr>
        <w:t>与谈判文件规定的暂估价、暂列金额及甲供材料价格不一致的；</w:t>
      </w:r>
    </w:p>
    <w:p w14:paraId="06B772E6">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（11）响应文件中已标价</w:t>
      </w:r>
      <w:r>
        <w:rPr>
          <w:rFonts w:hint="eastAsia" w:hAnsiTheme="minorEastAsia" w:eastAsiaTheme="minorEastAsia"/>
          <w:color w:val="000000" w:themeColor="text1"/>
          <w:szCs w:val="21"/>
          <w:highlight w:val="none"/>
          <w:lang w:eastAsia="zh-CN"/>
          <w14:textFill>
            <w14:solidFill>
              <w14:schemeClr w14:val="tx1"/>
            </w14:solidFill>
          </w14:textFill>
        </w:rPr>
        <w:t>报价清单</w:t>
      </w:r>
      <w:r>
        <w:rPr>
          <w:rFonts w:hint="eastAsia" w:hAnsiTheme="minorEastAsia" w:eastAsiaTheme="minorEastAsia"/>
          <w:color w:val="000000" w:themeColor="text1"/>
          <w:szCs w:val="21"/>
          <w:highlight w:val="none"/>
          <w14:textFill>
            <w14:solidFill>
              <w14:schemeClr w14:val="tx1"/>
            </w14:solidFill>
          </w14:textFill>
        </w:rPr>
        <w:t>与谈判文件明确列出的不可竞争费用项目或费率或计算基础不一致的；</w:t>
      </w:r>
    </w:p>
    <w:p w14:paraId="574D35F2">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（12）响应文件的已标价</w:t>
      </w:r>
      <w:r>
        <w:rPr>
          <w:rFonts w:hint="eastAsia" w:hAnsiTheme="minorEastAsia" w:eastAsiaTheme="minorEastAsia"/>
          <w:color w:val="000000" w:themeColor="text1"/>
          <w:szCs w:val="21"/>
          <w:highlight w:val="none"/>
          <w:lang w:eastAsia="zh-CN"/>
          <w14:textFill>
            <w14:solidFill>
              <w14:schemeClr w14:val="tx1"/>
            </w14:solidFill>
          </w14:textFill>
        </w:rPr>
        <w:t>报价清单</w:t>
      </w:r>
      <w:r>
        <w:rPr>
          <w:rFonts w:hint="eastAsia" w:hAnsiTheme="minorEastAsia" w:eastAsiaTheme="minorEastAsia"/>
          <w:color w:val="000000" w:themeColor="text1"/>
          <w:szCs w:val="21"/>
          <w:highlight w:val="none"/>
          <w14:textFill>
            <w14:solidFill>
              <w14:schemeClr w14:val="tx1"/>
            </w14:solidFill>
          </w14:textFill>
        </w:rPr>
        <w:t>与谈判文件提供的</w:t>
      </w:r>
      <w:r>
        <w:rPr>
          <w:rFonts w:hint="eastAsia" w:hAnsiTheme="minorEastAsia" w:eastAsiaTheme="minorEastAsia"/>
          <w:color w:val="000000" w:themeColor="text1"/>
          <w:szCs w:val="21"/>
          <w:highlight w:val="none"/>
          <w:lang w:eastAsia="zh-CN"/>
          <w14:textFill>
            <w14:solidFill>
              <w14:schemeClr w14:val="tx1"/>
            </w14:solidFill>
          </w14:textFill>
        </w:rPr>
        <w:t>报价清单</w:t>
      </w:r>
      <w:r>
        <w:rPr>
          <w:rFonts w:hint="eastAsia" w:hAnsiTheme="minorEastAsia" w:eastAsiaTheme="minorEastAsia"/>
          <w:color w:val="000000" w:themeColor="text1"/>
          <w:szCs w:val="21"/>
          <w:highlight w:val="none"/>
          <w14:textFill>
            <w14:solidFill>
              <w14:schemeClr w14:val="tx1"/>
            </w14:solidFill>
          </w14:textFill>
        </w:rPr>
        <w:t>中的项目编码、项目名称、项目特征、计量单位、工程量不一致的；</w:t>
      </w:r>
    </w:p>
    <w:p w14:paraId="5282D556">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（13）未按谈判文件要求提供谈判保证金的；</w:t>
      </w:r>
    </w:p>
    <w:p w14:paraId="4DDEF2FA">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（14）响应文件载明的采购项目完成期限超过谈判文件规定的期限的；</w:t>
      </w:r>
    </w:p>
    <w:p w14:paraId="24F122EE">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（15）明显不符合技术规范、技术标准的要求或未响应谈判文件推荐材料设备品牌的；</w:t>
      </w:r>
    </w:p>
    <w:p w14:paraId="219A8FEF">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（16）响应文件载明的货物包装方式、检验标准和方法等不符合谈判文件的要求的；</w:t>
      </w:r>
    </w:p>
    <w:p w14:paraId="1E190E13">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（17）响应文件提出了不能满足谈判文件要求或采购人不能接受的工程验收、计量、价款结算和支付办法的；</w:t>
      </w:r>
    </w:p>
    <w:p w14:paraId="7D12A554">
      <w:pP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（18）未按谈判文件要求提供电子响应文件，或者响应文件未能解密的；</w:t>
      </w:r>
    </w:p>
    <w:p w14:paraId="55CAE8D8">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（19）不同供应商的响应文件以及响应文件制作过程出现了评审小组认为不应当雷同的情况的；</w:t>
      </w:r>
    </w:p>
    <w:p w14:paraId="46E7F6AA">
      <w:pPr>
        <w:spacing w:line="360" w:lineRule="exact"/>
        <w:ind w:firstLine="420"/>
        <w:jc w:val="left"/>
        <w:rPr>
          <w:rFonts w:hint="eastAsia" w:hAnsiTheme="minorEastAsia" w:eastAsiaTheme="minorEastAsia"/>
          <w:color w:val="000000" w:themeColor="text1"/>
          <w:szCs w:val="21"/>
          <w:highlight w:val="none"/>
          <w:lang w:eastAsia="zh-CN"/>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（20）以他人的名义参与谈判、串通参与谈判、以行贿手段谋取成交或者以其他弄虚作假方式参与谈判的</w:t>
      </w:r>
      <w:r>
        <w:rPr>
          <w:rFonts w:hint="eastAsia" w:hAnsiTheme="minorEastAsia" w:eastAsiaTheme="minorEastAsia"/>
          <w:color w:val="000000" w:themeColor="text1"/>
          <w:szCs w:val="21"/>
          <w:highlight w:val="none"/>
          <w:lang w:eastAsia="zh-CN"/>
          <w14:textFill>
            <w14:solidFill>
              <w14:schemeClr w14:val="tx1"/>
            </w14:solidFill>
          </w14:textFill>
        </w:rPr>
        <w:t>；</w:t>
      </w:r>
    </w:p>
    <w:p w14:paraId="14DA7F71">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lang w:eastAsia="zh-CN"/>
          <w14:textFill>
            <w14:solidFill>
              <w14:schemeClr w14:val="tx1"/>
            </w14:solidFill>
          </w14:textFill>
        </w:rPr>
        <w:t>（</w:t>
      </w:r>
      <w:r>
        <w:rPr>
          <w:rFonts w:hint="eastAsia" w:hAnsiTheme="minorEastAsia" w:eastAsiaTheme="minorEastAsia"/>
          <w:color w:val="000000" w:themeColor="text1"/>
          <w:szCs w:val="21"/>
          <w:highlight w:val="none"/>
          <w:lang w:val="en-US" w:eastAsia="zh-CN"/>
          <w14:textFill>
            <w14:solidFill>
              <w14:schemeClr w14:val="tx1"/>
            </w14:solidFill>
          </w14:textFill>
        </w:rPr>
        <w:t>21</w:t>
      </w:r>
      <w:r>
        <w:rPr>
          <w:rFonts w:hint="eastAsia" w:hAnsiTheme="minorEastAsia" w:eastAsiaTheme="minorEastAsia"/>
          <w:color w:val="000000" w:themeColor="text1"/>
          <w:szCs w:val="21"/>
          <w:highlight w:val="none"/>
          <w:lang w:eastAsia="zh-CN"/>
          <w14:textFill>
            <w14:solidFill>
              <w14:schemeClr w14:val="tx1"/>
            </w14:solidFill>
          </w14:textFill>
        </w:rPr>
        <w:t>）</w:t>
      </w:r>
      <w:r>
        <w:rPr>
          <w:rFonts w:hint="eastAsia" w:hAnsiTheme="minorEastAsia" w:eastAsiaTheme="minorEastAsia"/>
          <w:color w:val="000000" w:themeColor="text1"/>
          <w:szCs w:val="21"/>
          <w:highlight w:val="none"/>
          <w14:textFill>
            <w14:solidFill>
              <w14:schemeClr w14:val="tx1"/>
            </w14:solidFill>
          </w14:textFill>
        </w:rPr>
        <w:t>供应商不得相互串通或者与采购人串通参加采购活动，供应商有下列情形之一的，直接视为串通投标。</w:t>
      </w:r>
    </w:p>
    <w:p w14:paraId="23BAD894">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1）</w:t>
      </w:r>
      <w:r>
        <w:rPr>
          <w:rFonts w:hint="eastAsia" w:hAnsiTheme="minorEastAsia" w:eastAsiaTheme="minorEastAsia"/>
          <w:color w:val="000000" w:themeColor="text1"/>
          <w:szCs w:val="21"/>
          <w:highlight w:val="none"/>
          <w14:textFill>
            <w14:solidFill>
              <w14:schemeClr w14:val="tx1"/>
            </w14:solidFill>
          </w14:textFill>
        </w:rPr>
        <w:t>不同供应商的响应文件内容异常一致；</w:t>
      </w:r>
    </w:p>
    <w:p w14:paraId="6B1E029E">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2）不同供应商的报价或报价组成多处异常且一致或呈现规律性变化；</w:t>
      </w:r>
    </w:p>
    <w:p w14:paraId="18F5DBDC">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3）不同供应商的响应文件因非采购人原因存在3处以上错漏内容一致；</w:t>
      </w:r>
    </w:p>
    <w:p w14:paraId="6A626DAB">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4）不同供应商的响应文件载明的法定代表人或授权委托人或项目组成员为同一人；</w:t>
      </w:r>
    </w:p>
    <w:p w14:paraId="0DBC3D7D">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5）不同供应商的响应文件由同一台电子设备编制、打包、加密、上传、打印或复印；</w:t>
      </w:r>
    </w:p>
    <w:p w14:paraId="123B0EB0">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6）不同供应商提交响应文件的IP地址一致；</w:t>
      </w:r>
    </w:p>
    <w:p w14:paraId="24E8D4EB">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7）不同供应商的采购活动保证金由同一单位或个人账户转出；</w:t>
      </w:r>
    </w:p>
    <w:p w14:paraId="3DF49C3E">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8）不同供应商授权委托同一人参与采购活动；</w:t>
      </w:r>
    </w:p>
    <w:p w14:paraId="40DD6807">
      <w:pP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9）不同供应商聘请同一人为其参与采购活动提供技术或咨询服务（采购活</w:t>
      </w:r>
      <w:r>
        <w:rPr>
          <w:rFonts w:hint="eastAsia" w:hAnsiTheme="minorEastAsia" w:eastAsiaTheme="minorEastAsia"/>
          <w:color w:val="000000" w:themeColor="text1"/>
          <w:szCs w:val="21"/>
          <w:highlight w:val="none"/>
          <w:lang w:eastAsia="zh-CN"/>
          <w14:textFill>
            <w14:solidFill>
              <w14:schemeClr w14:val="tx1"/>
            </w14:solidFill>
          </w14:textFill>
        </w:rPr>
        <w:t>动有</w:t>
      </w:r>
      <w:r>
        <w:rPr>
          <w:rFonts w:hint="eastAsia" w:hAnsiTheme="minorEastAsia" w:eastAsiaTheme="minorEastAsia"/>
          <w:color w:val="000000" w:themeColor="text1"/>
          <w:szCs w:val="21"/>
          <w:highlight w:val="none"/>
          <w14:textFill>
            <w14:solidFill>
              <w14:schemeClr w14:val="tx1"/>
            </w14:solidFill>
          </w14:textFill>
        </w:rPr>
        <w:t>特殊要求的除外）；</w:t>
      </w:r>
    </w:p>
    <w:p w14:paraId="678B197A">
      <w:pPr>
        <w:spacing w:line="360" w:lineRule="exact"/>
        <w:ind w:firstLine="420"/>
        <w:jc w:val="left"/>
        <w:rPr>
          <w:rFonts w:hint="eastAsia" w:hAnsiTheme="minorEastAsia" w:eastAsiaTheme="minorEastAsia"/>
          <w:color w:val="000000" w:themeColor="text1"/>
          <w:szCs w:val="21"/>
          <w:highlight w:val="none"/>
          <w:lang w:eastAsia="zh-CN"/>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10）法律、法规规定的其他视为串标、围标的情形。</w:t>
      </w:r>
    </w:p>
    <w:p w14:paraId="06D54F84">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谈判文件未</w:t>
      </w:r>
      <w:r>
        <w:rPr>
          <w:rFonts w:hint="eastAsia" w:hAnsiTheme="minorEastAsia" w:eastAsiaTheme="minorEastAsia"/>
          <w:color w:val="000000" w:themeColor="text1"/>
          <w:szCs w:val="21"/>
          <w:highlight w:val="none"/>
          <w:lang w:eastAsia="zh-CN"/>
          <w14:textFill>
            <w14:solidFill>
              <w14:schemeClr w14:val="tx1"/>
            </w14:solidFill>
          </w14:textFill>
        </w:rPr>
        <w:t>列明</w:t>
      </w:r>
      <w:r>
        <w:rPr>
          <w:rFonts w:hint="eastAsia" w:hAnsiTheme="minorEastAsia" w:eastAsiaTheme="minorEastAsia"/>
          <w:color w:val="000000" w:themeColor="text1"/>
          <w:szCs w:val="21"/>
          <w:highlight w:val="none"/>
          <w14:textFill>
            <w14:solidFill>
              <w14:schemeClr w14:val="tx1"/>
            </w14:solidFill>
          </w14:textFill>
        </w:rPr>
        <w:t>的无效条款，不得作为否决响应文件、判定响应文件无效的依据。评审委员会对响应文件有异议，或者依照有关规定需要作出无效响应文件决定的，应当向当事人核实有关事项，并将核实情况记录在案。无效响应文件认定应当</w:t>
      </w:r>
      <w:r>
        <w:rPr>
          <w:rFonts w:hAnsiTheme="minorEastAsia" w:eastAsiaTheme="minorEastAsia"/>
          <w:color w:val="000000" w:themeColor="text1"/>
          <w:szCs w:val="21"/>
          <w:highlight w:val="none"/>
          <w14:textFill>
            <w14:solidFill>
              <w14:schemeClr w14:val="tx1"/>
            </w14:solidFill>
          </w14:textFill>
        </w:rPr>
        <w:t>由评审委员会集体表决后作出。</w:t>
      </w:r>
    </w:p>
    <w:p w14:paraId="2F04369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谈判评审小组应当依据谈判文件的规定认定重大偏差，谈判文件未列明的无效响应文件条款，不得作为否决参与谈判、判定无效响应文件的依据。</w:t>
      </w:r>
    </w:p>
    <w:p w14:paraId="43509D53">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3.2.5</w:t>
      </w:r>
      <w:r>
        <w:rPr>
          <w:rFonts w:hAnsiTheme="minorEastAsia" w:eastAsiaTheme="minorEastAsia"/>
          <w:color w:val="000000" w:themeColor="text1"/>
          <w:szCs w:val="21"/>
          <w:highlight w:val="none"/>
          <w14:textFill>
            <w14:solidFill>
              <w14:schemeClr w14:val="tx1"/>
            </w14:solidFill>
          </w14:textFill>
        </w:rPr>
        <w:t>属于下列情况之一的为细微偏差，细微偏差是指响应文件在实质上响应</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w:t>
      </w:r>
      <w:r>
        <w:rPr>
          <w:rFonts w:hint="eastAsia" w:hAnsiTheme="minorEastAsia" w:eastAsiaTheme="minorEastAsia"/>
          <w:color w:val="000000" w:themeColor="text1"/>
          <w:szCs w:val="21"/>
          <w:highlight w:val="none"/>
          <w:lang w:eastAsia="zh-CN"/>
          <w14:textFill>
            <w14:solidFill>
              <w14:schemeClr w14:val="tx1"/>
            </w14:solidFill>
          </w14:textFill>
        </w:rPr>
        <w:t>做</w:t>
      </w:r>
      <w:r>
        <w:rPr>
          <w:rFonts w:hAnsiTheme="minorEastAsia" w:eastAsiaTheme="minorEastAsia"/>
          <w:color w:val="000000" w:themeColor="text1"/>
          <w:szCs w:val="21"/>
          <w:highlight w:val="none"/>
          <w14:textFill>
            <w14:solidFill>
              <w14:schemeClr w14:val="tx1"/>
            </w14:solidFill>
          </w14:textFill>
        </w:rPr>
        <w:t>不利于该供应商的量化，各项指标均取所有谈判报价中相应指标的最大值：</w:t>
      </w:r>
    </w:p>
    <w:p w14:paraId="3F785F08">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）谈判文件未规定作为重大偏差的，一律为细微偏差；</w:t>
      </w:r>
    </w:p>
    <w:p w14:paraId="1021663C">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2</w:t>
      </w:r>
      <w:r>
        <w:rPr>
          <w:rFonts w:hAnsiTheme="minorEastAsia" w:eastAsiaTheme="minorEastAsia"/>
          <w:color w:val="000000" w:themeColor="text1"/>
          <w:szCs w:val="21"/>
          <w:highlight w:val="none"/>
          <w14:textFill>
            <w14:solidFill>
              <w14:schemeClr w14:val="tx1"/>
            </w14:solidFill>
          </w14:textFill>
        </w:rPr>
        <w:t>）对谈判文件中含义不明确、对同类问题表述不一致或者明显的文字错误，谈判评审小组应当在澄清的基础上按照</w:t>
      </w:r>
      <w:r>
        <w:rPr>
          <w:rFonts w:hint="eastAsia" w:hAnsiTheme="minorEastAsia" w:eastAsiaTheme="minorEastAsia"/>
          <w:color w:val="000000" w:themeColor="text1"/>
          <w:szCs w:val="21"/>
          <w:highlight w:val="none"/>
          <w:lang w:eastAsia="zh-CN"/>
          <w14:textFill>
            <w14:solidFill>
              <w14:schemeClr w14:val="tx1"/>
            </w14:solidFill>
          </w14:textFill>
        </w:rPr>
        <w:t>实事求是</w:t>
      </w:r>
      <w:r>
        <w:rPr>
          <w:rFonts w:hAnsiTheme="minorEastAsia" w:eastAsiaTheme="minorEastAsia"/>
          <w:color w:val="000000" w:themeColor="text1"/>
          <w:szCs w:val="21"/>
          <w:highlight w:val="none"/>
          <w14:textFill>
            <w14:solidFill>
              <w14:schemeClr w14:val="tx1"/>
            </w14:solidFill>
          </w14:textFill>
        </w:rPr>
        <w:t>地反映响</w:t>
      </w:r>
      <w:r>
        <w:rPr>
          <w:rFonts w:hint="eastAsia" w:hAnsiTheme="minorEastAsia" w:eastAsiaTheme="minorEastAsia"/>
          <w:color w:val="000000" w:themeColor="text1"/>
          <w:szCs w:val="21"/>
          <w:highlight w:val="none"/>
          <w:lang w:eastAsia="zh-CN"/>
          <w14:textFill>
            <w14:solidFill>
              <w14:schemeClr w14:val="tx1"/>
            </w14:solidFill>
          </w14:textFill>
        </w:rPr>
        <w:t>应文</w:t>
      </w:r>
      <w:r>
        <w:rPr>
          <w:rFonts w:hAnsiTheme="minorEastAsia" w:eastAsiaTheme="minorEastAsia"/>
          <w:color w:val="000000" w:themeColor="text1"/>
          <w:szCs w:val="21"/>
          <w:highlight w:val="none"/>
          <w14:textFill>
            <w14:solidFill>
              <w14:schemeClr w14:val="tx1"/>
            </w14:solidFill>
          </w14:textFill>
        </w:rPr>
        <w:t>件实质性内容和尽量减少无效响应文件的原则进行补正。</w:t>
      </w:r>
    </w:p>
    <w:p w14:paraId="756A639E">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3</w:t>
      </w:r>
      <w:r>
        <w:rPr>
          <w:rFonts w:hAnsiTheme="minorEastAsia" w:eastAsiaTheme="minorEastAsia"/>
          <w:color w:val="000000" w:themeColor="text1"/>
          <w:szCs w:val="21"/>
          <w:highlight w:val="none"/>
          <w14:textFill>
            <w14:solidFill>
              <w14:schemeClr w14:val="tx1"/>
            </w14:solidFill>
          </w14:textFill>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w:t>
      </w:r>
      <w:r>
        <w:rPr>
          <w:rFonts w:hint="eastAsia" w:hAnsiTheme="minorEastAsia" w:eastAsiaTheme="minorEastAsia"/>
          <w:color w:val="000000" w:themeColor="text1"/>
          <w:szCs w:val="21"/>
          <w:highlight w:val="none"/>
          <w:lang w:eastAsia="zh-CN"/>
          <w14:textFill>
            <w14:solidFill>
              <w14:schemeClr w14:val="tx1"/>
            </w14:solidFill>
          </w14:textFill>
        </w:rPr>
        <w:t>被否决</w:t>
      </w:r>
      <w:r>
        <w:rPr>
          <w:rFonts w:hAnsiTheme="minorEastAsia" w:eastAsiaTheme="minorEastAsia"/>
          <w:color w:val="000000" w:themeColor="text1"/>
          <w:szCs w:val="21"/>
          <w:highlight w:val="none"/>
          <w14:textFill>
            <w14:solidFill>
              <w14:schemeClr w14:val="tx1"/>
            </w14:solidFill>
          </w14:textFill>
        </w:rPr>
        <w:t>。</w:t>
      </w:r>
    </w:p>
    <w:p w14:paraId="5ED02625">
      <w:pPr>
        <w:spacing w:line="360" w:lineRule="exact"/>
        <w:ind w:firstLine="422"/>
        <w:jc w:val="left"/>
        <w:rPr>
          <w:rFonts w:eastAsiaTheme="minorEastAsia"/>
          <w:b/>
          <w:color w:val="000000" w:themeColor="text1"/>
          <w:szCs w:val="21"/>
          <w:highlight w:val="none"/>
          <w14:textFill>
            <w14:solidFill>
              <w14:schemeClr w14:val="tx1"/>
            </w14:solidFill>
          </w14:textFill>
        </w:rPr>
      </w:pPr>
      <w:bookmarkStart w:id="166" w:name="_Toc475027999"/>
      <w:bookmarkStart w:id="167" w:name="_Toc342467878"/>
      <w:bookmarkStart w:id="168" w:name="_Toc354417674"/>
      <w:bookmarkStart w:id="169" w:name="_Toc520410632"/>
      <w:r>
        <w:rPr>
          <w:rFonts w:eastAsiaTheme="minorEastAsia"/>
          <w:b/>
          <w:color w:val="000000" w:themeColor="text1"/>
          <w:szCs w:val="21"/>
          <w:highlight w:val="none"/>
          <w14:textFill>
            <w14:solidFill>
              <w14:schemeClr w14:val="tx1"/>
            </w14:solidFill>
          </w14:textFill>
        </w:rPr>
        <w:t>3.4</w:t>
      </w:r>
      <w:r>
        <w:rPr>
          <w:rFonts w:hAnsiTheme="minorEastAsia" w:eastAsiaTheme="minorEastAsia"/>
          <w:b/>
          <w:color w:val="000000" w:themeColor="text1"/>
          <w:szCs w:val="21"/>
          <w:highlight w:val="none"/>
          <w14:textFill>
            <w14:solidFill>
              <w14:schemeClr w14:val="tx1"/>
            </w14:solidFill>
          </w14:textFill>
        </w:rPr>
        <w:t>响应文件的澄清和补正</w:t>
      </w:r>
      <w:bookmarkEnd w:id="166"/>
      <w:bookmarkEnd w:id="167"/>
      <w:bookmarkEnd w:id="168"/>
      <w:bookmarkEnd w:id="169"/>
    </w:p>
    <w:p w14:paraId="5D0AA80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3.4.1</w:t>
      </w:r>
      <w:r>
        <w:rPr>
          <w:rFonts w:hAnsiTheme="minorEastAsia" w:eastAsiaTheme="minorEastAsia"/>
          <w:color w:val="000000" w:themeColor="text1"/>
          <w:szCs w:val="21"/>
          <w:highlight w:val="none"/>
          <w14:textFill>
            <w14:solidFill>
              <w14:schemeClr w14:val="tx1"/>
            </w14:solidFill>
          </w14:textFill>
        </w:rPr>
        <w:t>在评审过程中，谈判评审小组应当以书面形式要求供应商对所提交的响应文件中不明确的内容进行书面澄清或说明。谈判评审小组不接受供应商主动提出的澄清、说明或补正。</w:t>
      </w:r>
    </w:p>
    <w:p w14:paraId="58E430FA">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3.4.2 </w:t>
      </w:r>
      <w:r>
        <w:rPr>
          <w:rFonts w:hAnsiTheme="minorEastAsia" w:eastAsiaTheme="minorEastAsia"/>
          <w:color w:val="000000" w:themeColor="text1"/>
          <w:szCs w:val="21"/>
          <w:highlight w:val="none"/>
          <w14:textFill>
            <w14:solidFill>
              <w14:schemeClr w14:val="tx1"/>
            </w14:solidFill>
          </w14:textFill>
        </w:rPr>
        <w:t>澄清、说明和补正不得改变响应文件的实质性内容。供应商的书面澄清、说明和补正属于响应文件的组成部分。</w:t>
      </w:r>
    </w:p>
    <w:p w14:paraId="2E43CB37">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3.4.3 </w:t>
      </w:r>
      <w:r>
        <w:rPr>
          <w:rFonts w:hAnsiTheme="minorEastAsia" w:eastAsiaTheme="minorEastAsia"/>
          <w:color w:val="000000" w:themeColor="text1"/>
          <w:szCs w:val="21"/>
          <w:highlight w:val="none"/>
          <w14:textFill>
            <w14:solidFill>
              <w14:schemeClr w14:val="tx1"/>
            </w14:solidFill>
          </w14:textFill>
        </w:rPr>
        <w:t>谈判评审小组对供应商提交的澄清、说明或补正有疑问的，可以要求供应商进一步澄清、说明或补正，直至满足谈判评审小组的要求。</w:t>
      </w:r>
    </w:p>
    <w:p w14:paraId="743286E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3.4.4 </w:t>
      </w:r>
      <w:r>
        <w:rPr>
          <w:rFonts w:hAnsiTheme="minorEastAsia" w:eastAsiaTheme="minorEastAsia"/>
          <w:color w:val="000000" w:themeColor="text1"/>
          <w:szCs w:val="21"/>
          <w:highlight w:val="none"/>
          <w14:textFill>
            <w14:solidFill>
              <w14:schemeClr w14:val="tx1"/>
            </w14:solidFill>
          </w14:textFill>
        </w:rPr>
        <w:t>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2C9E0CB3">
      <w:pPr>
        <w:spacing w:line="360" w:lineRule="exact"/>
        <w:ind w:firstLine="422"/>
        <w:jc w:val="left"/>
        <w:rPr>
          <w:rFonts w:eastAsiaTheme="minorEastAsia"/>
          <w:b/>
          <w:color w:val="000000" w:themeColor="text1"/>
          <w:szCs w:val="21"/>
          <w:highlight w:val="none"/>
          <w14:textFill>
            <w14:solidFill>
              <w14:schemeClr w14:val="tx1"/>
            </w14:solidFill>
          </w14:textFill>
        </w:rPr>
      </w:pPr>
      <w:bookmarkStart w:id="170" w:name="_Toc354417675"/>
      <w:bookmarkStart w:id="171" w:name="_Toc520410633"/>
      <w:bookmarkStart w:id="172" w:name="_Toc475028000"/>
      <w:r>
        <w:rPr>
          <w:rFonts w:eastAsiaTheme="minorEastAsia"/>
          <w:b/>
          <w:color w:val="000000" w:themeColor="text1"/>
          <w:szCs w:val="21"/>
          <w:highlight w:val="none"/>
          <w14:textFill>
            <w14:solidFill>
              <w14:schemeClr w14:val="tx1"/>
            </w14:solidFill>
          </w14:textFill>
        </w:rPr>
        <w:t>3.5</w:t>
      </w:r>
      <w:r>
        <w:rPr>
          <w:rFonts w:hAnsiTheme="minorEastAsia" w:eastAsiaTheme="minorEastAsia"/>
          <w:b/>
          <w:color w:val="000000" w:themeColor="text1"/>
          <w:szCs w:val="21"/>
          <w:highlight w:val="none"/>
          <w14:textFill>
            <w14:solidFill>
              <w14:schemeClr w14:val="tx1"/>
            </w14:solidFill>
          </w14:textFill>
        </w:rPr>
        <w:t>推荐成交候选人</w:t>
      </w:r>
      <w:bookmarkEnd w:id="170"/>
      <w:bookmarkEnd w:id="171"/>
      <w:bookmarkEnd w:id="172"/>
    </w:p>
    <w:p w14:paraId="58D426F8">
      <w:pPr>
        <w:spacing w:line="360" w:lineRule="exact"/>
        <w:ind w:firstLine="420"/>
        <w:jc w:val="left"/>
        <w:rPr>
          <w:rFonts w:ascii="Times New Roman" w:cs="Times New Roman" w:hAnsiTheme="minorEastAsia"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谈判评审小组在推荐成交候选人</w:t>
      </w:r>
      <w:r>
        <w:rPr>
          <w:rFonts w:ascii="Times New Roman" w:cs="Times New Roman" w:hAnsiTheme="minorEastAsia" w:eastAsiaTheme="minorEastAsia"/>
          <w:color w:val="000000" w:themeColor="text1"/>
          <w:szCs w:val="21"/>
          <w:highlight w:val="none"/>
          <w14:textFill>
            <w14:solidFill>
              <w14:schemeClr w14:val="tx1"/>
            </w14:solidFill>
          </w14:textFill>
        </w:rPr>
        <w:t>时，应遵照以下原则:</w:t>
      </w:r>
    </w:p>
    <w:p w14:paraId="05736FD1">
      <w:pPr>
        <w:spacing w:line="360" w:lineRule="exact"/>
        <w:ind w:firstLine="420"/>
        <w:jc w:val="left"/>
        <w:rPr>
          <w:rFonts w:ascii="Times New Roman" w:cs="Times New Roman" w:hAnsiTheme="minorEastAsia" w:eastAsiaTheme="minorEastAsia"/>
          <w:color w:val="000000" w:themeColor="text1"/>
          <w:szCs w:val="21"/>
          <w:highlight w:val="none"/>
          <w14:textFill>
            <w14:solidFill>
              <w14:schemeClr w14:val="tx1"/>
            </w14:solidFill>
          </w14:textFill>
        </w:rPr>
      </w:pPr>
      <w:r>
        <w:rPr>
          <w:rFonts w:ascii="Times New Roman" w:cs="Times New Roman" w:hAnsiTheme="minorEastAsia" w:eastAsiaTheme="minorEastAsia"/>
          <w:color w:val="000000" w:themeColor="text1"/>
          <w:szCs w:val="21"/>
          <w:highlight w:val="none"/>
          <w14:textFill>
            <w14:solidFill>
              <w14:schemeClr w14:val="tx1"/>
            </w14:solidFill>
          </w14:textFill>
        </w:rPr>
        <w:t>3.5.1谈判评审小组按照最终报价由低至高的次序排列，推荐1-3名成交候选人</w:t>
      </w:r>
      <w:r>
        <w:rPr>
          <w:rFonts w:hint="eastAsia" w:ascii="Times New Roman" w:cs="Times New Roman" w:hAnsiTheme="minorEastAsia" w:eastAsiaTheme="minorEastAsia"/>
          <w:color w:val="000000" w:themeColor="text1"/>
          <w:szCs w:val="21"/>
          <w:highlight w:val="none"/>
          <w14:textFill>
            <w14:solidFill>
              <w14:schemeClr w14:val="tx1"/>
            </w14:solidFill>
          </w14:textFill>
        </w:rPr>
        <w:t>。</w:t>
      </w:r>
    </w:p>
    <w:p w14:paraId="4DE2684C">
      <w:pPr>
        <w:spacing w:line="360" w:lineRule="exact"/>
        <w:ind w:firstLine="420"/>
        <w:jc w:val="left"/>
        <w:rPr>
          <w:rFonts w:ascii="Times New Roman" w:cs="Times New Roman" w:hAnsiTheme="minorEastAsia" w:eastAsiaTheme="minorEastAsia"/>
          <w:color w:val="000000" w:themeColor="text1"/>
          <w:szCs w:val="21"/>
          <w:highlight w:val="none"/>
          <w14:textFill>
            <w14:solidFill>
              <w14:schemeClr w14:val="tx1"/>
            </w14:solidFill>
          </w14:textFill>
        </w:rPr>
      </w:pPr>
      <w:r>
        <w:rPr>
          <w:rFonts w:ascii="Times New Roman" w:cs="Times New Roman" w:hAnsiTheme="minorEastAsia" w:eastAsiaTheme="minorEastAsia"/>
          <w:color w:val="000000" w:themeColor="text1"/>
          <w:szCs w:val="21"/>
          <w:highlight w:val="none"/>
          <w14:textFill>
            <w14:solidFill>
              <w14:schemeClr w14:val="tx1"/>
            </w14:solidFill>
          </w14:textFill>
        </w:rPr>
        <w:t>3.5.2当供应商最终谈判报价均不被采购人接受时，谈判失败，由采购人重新组织采购。</w:t>
      </w:r>
    </w:p>
    <w:p w14:paraId="0D08A720">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ascii="Times New Roman" w:cs="Times New Roman" w:hAnsiTheme="minorEastAsia" w:eastAsiaTheme="minorEastAsia"/>
          <w:color w:val="000000" w:themeColor="text1"/>
          <w:szCs w:val="21"/>
          <w:highlight w:val="none"/>
          <w14:textFill>
            <w14:solidFill>
              <w14:schemeClr w14:val="tx1"/>
            </w14:solidFill>
          </w14:textFill>
        </w:rPr>
        <w:t>3.5.3当所有报价均与最高限价异常接近，经谈判评审小组认定明显缺乏竞争</w:t>
      </w:r>
      <w:r>
        <w:rPr>
          <w:rFonts w:hAnsiTheme="minorEastAsia" w:eastAsiaTheme="minorEastAsia"/>
          <w:color w:val="000000" w:themeColor="text1"/>
          <w:szCs w:val="21"/>
          <w:highlight w:val="none"/>
          <w14:textFill>
            <w14:solidFill>
              <w14:schemeClr w14:val="tx1"/>
            </w14:solidFill>
          </w14:textFill>
        </w:rPr>
        <w:t>性时，谈判评审小组可以否决所有响应文件，由采购人重新组织采购。</w:t>
      </w:r>
    </w:p>
    <w:p w14:paraId="123F260B">
      <w:pP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3.5.4</w:t>
      </w:r>
      <w:r>
        <w:rPr>
          <w:rFonts w:hAnsiTheme="minorEastAsia" w:eastAsiaTheme="minorEastAsia"/>
          <w:color w:val="000000" w:themeColor="text1"/>
          <w:szCs w:val="21"/>
          <w:highlight w:val="none"/>
          <w14:textFill>
            <w14:solidFill>
              <w14:schemeClr w14:val="tx1"/>
            </w14:solidFill>
          </w14:textFill>
        </w:rPr>
        <w:t>如果谈判评审小组根据本章的规定作无效处理后，有效供应商不足三个，谈判评审小组应当对是否具有竞争性进行判断：有竞争性的，按有效响应文件最终得分由高至低的次序推荐成交候选人；缺乏竞争的，谈判评审小组应当否决全部响应文件。</w:t>
      </w:r>
    </w:p>
    <w:p w14:paraId="2963962B">
      <w:pPr>
        <w:spacing w:line="360" w:lineRule="exact"/>
        <w:ind w:firstLine="420"/>
        <w:jc w:val="left"/>
        <w:rPr>
          <w:rFonts w:hAnsiTheme="minorEastAsia" w:eastAsiaTheme="minorEastAsia"/>
          <w:color w:val="000000" w:themeColor="text1"/>
          <w:sz w:val="24"/>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 xml:space="preserve">3.5.5 </w:t>
      </w:r>
      <w:r>
        <w:rPr>
          <w:rFonts w:hAnsiTheme="minorEastAsia" w:eastAsiaTheme="minorEastAsia"/>
          <w:color w:val="000000" w:themeColor="text1"/>
          <w:szCs w:val="21"/>
          <w:highlight w:val="none"/>
          <w14:textFill>
            <w14:solidFill>
              <w14:schemeClr w14:val="tx1"/>
            </w14:solidFill>
          </w14:textFill>
        </w:rPr>
        <w:t>谈判评审小组完成评审后，应当向采购人提交评审报告。</w:t>
      </w:r>
      <w:bookmarkEnd w:id="116"/>
      <w:bookmarkStart w:id="173" w:name="_Toc520666374"/>
    </w:p>
    <w:p w14:paraId="5B0F1720">
      <w:pPr>
        <w:spacing w:line="240" w:lineRule="auto"/>
        <w:ind w:firstLine="0" w:firstLineChars="0"/>
        <w:jc w:val="center"/>
        <w:outlineLvl w:val="0"/>
        <w:rPr>
          <w:b/>
          <w:bCs/>
          <w:color w:val="000000" w:themeColor="text1"/>
          <w:sz w:val="48"/>
          <w:szCs w:val="48"/>
          <w:highlight w:val="none"/>
          <w14:textFill>
            <w14:solidFill>
              <w14:schemeClr w14:val="tx1"/>
            </w14:solidFill>
          </w14:textFill>
        </w:rPr>
      </w:pPr>
    </w:p>
    <w:p w14:paraId="6362AF1F">
      <w:pPr>
        <w:pStyle w:val="18"/>
        <w:ind w:firstLine="964"/>
        <w:rPr>
          <w:b/>
          <w:bCs/>
          <w:color w:val="000000" w:themeColor="text1"/>
          <w:sz w:val="48"/>
          <w:szCs w:val="48"/>
          <w:highlight w:val="none"/>
          <w14:textFill>
            <w14:solidFill>
              <w14:schemeClr w14:val="tx1"/>
            </w14:solidFill>
          </w14:textFill>
        </w:rPr>
      </w:pPr>
    </w:p>
    <w:p w14:paraId="57884BD6">
      <w:pPr>
        <w:pStyle w:val="46"/>
        <w:ind w:left="63" w:right="63" w:firstLine="482"/>
        <w:rPr>
          <w:b/>
          <w:bCs/>
          <w:color w:val="000000" w:themeColor="text1"/>
          <w:sz w:val="48"/>
          <w:szCs w:val="48"/>
          <w:highlight w:val="none"/>
          <w14:textFill>
            <w14:solidFill>
              <w14:schemeClr w14:val="tx1"/>
            </w14:solidFill>
          </w14:textFill>
        </w:rPr>
      </w:pPr>
    </w:p>
    <w:p w14:paraId="6F4EB5D5">
      <w:pPr>
        <w:ind w:firstLine="964"/>
        <w:rPr>
          <w:b/>
          <w:bCs/>
          <w:color w:val="000000" w:themeColor="text1"/>
          <w:sz w:val="48"/>
          <w:szCs w:val="48"/>
          <w:highlight w:val="none"/>
          <w14:textFill>
            <w14:solidFill>
              <w14:schemeClr w14:val="tx1"/>
            </w14:solidFill>
          </w14:textFill>
        </w:rPr>
      </w:pPr>
    </w:p>
    <w:p w14:paraId="14681CAF">
      <w:pPr>
        <w:rPr>
          <w:b/>
          <w:bCs/>
          <w:color w:val="000000" w:themeColor="text1"/>
          <w:sz w:val="48"/>
          <w:szCs w:val="48"/>
          <w:highlight w:val="none"/>
          <w14:textFill>
            <w14:solidFill>
              <w14:schemeClr w14:val="tx1"/>
            </w14:solidFill>
          </w14:textFill>
        </w:rPr>
      </w:pPr>
      <w:r>
        <w:rPr>
          <w:b/>
          <w:bCs/>
          <w:color w:val="000000" w:themeColor="text1"/>
          <w:sz w:val="48"/>
          <w:szCs w:val="48"/>
          <w:highlight w:val="none"/>
          <w14:textFill>
            <w14:solidFill>
              <w14:schemeClr w14:val="tx1"/>
            </w14:solidFill>
          </w14:textFill>
        </w:rPr>
        <w:br w:type="page"/>
      </w:r>
    </w:p>
    <w:p w14:paraId="0955C9A7">
      <w:pPr>
        <w:spacing w:line="240" w:lineRule="auto"/>
        <w:ind w:firstLine="0" w:firstLineChars="0"/>
        <w:jc w:val="center"/>
        <w:outlineLvl w:val="0"/>
        <w:rPr>
          <w:b/>
          <w:bCs/>
          <w:color w:val="000000" w:themeColor="text1"/>
          <w:sz w:val="48"/>
          <w:szCs w:val="48"/>
          <w:highlight w:val="none"/>
          <w14:textFill>
            <w14:solidFill>
              <w14:schemeClr w14:val="tx1"/>
            </w14:solidFill>
          </w14:textFill>
        </w:rPr>
      </w:pPr>
      <w:bookmarkStart w:id="174" w:name="_Toc24756"/>
      <w:r>
        <w:rPr>
          <w:b/>
          <w:bCs/>
          <w:color w:val="000000" w:themeColor="text1"/>
          <w:sz w:val="48"/>
          <w:szCs w:val="48"/>
          <w:highlight w:val="none"/>
          <w14:textFill>
            <w14:solidFill>
              <w14:schemeClr w14:val="tx1"/>
            </w14:solidFill>
          </w14:textFill>
        </w:rPr>
        <w:t>第四章</w:t>
      </w:r>
      <w:r>
        <w:rPr>
          <w:rFonts w:hint="eastAsia"/>
          <w:b/>
          <w:bCs/>
          <w:color w:val="000000" w:themeColor="text1"/>
          <w:sz w:val="48"/>
          <w:szCs w:val="48"/>
          <w:highlight w:val="none"/>
          <w14:textFill>
            <w14:solidFill>
              <w14:schemeClr w14:val="tx1"/>
            </w14:solidFill>
          </w14:textFill>
        </w:rPr>
        <w:t xml:space="preserve"> </w:t>
      </w:r>
      <w:r>
        <w:rPr>
          <w:b/>
          <w:bCs/>
          <w:color w:val="000000" w:themeColor="text1"/>
          <w:sz w:val="48"/>
          <w:szCs w:val="48"/>
          <w:highlight w:val="none"/>
          <w14:textFill>
            <w14:solidFill>
              <w14:schemeClr w14:val="tx1"/>
            </w14:solidFill>
          </w14:textFill>
        </w:rPr>
        <w:t>合同条款及格式</w:t>
      </w:r>
      <w:bookmarkEnd w:id="173"/>
      <w:bookmarkEnd w:id="174"/>
    </w:p>
    <w:p w14:paraId="6388046B">
      <w:pPr>
        <w:spacing w:line="360" w:lineRule="auto"/>
        <w:ind w:right="420" w:firstLine="0" w:firstLineChars="0"/>
        <w:jc w:val="left"/>
        <w:rPr>
          <w:rFonts w:hint="default" w:ascii="Times New Roman" w:hAnsi="Times New Roman" w:cs="Times New Roman"/>
          <w:b/>
          <w:bCs/>
          <w:szCs w:val="21"/>
          <w:highlight w:val="none"/>
        </w:rPr>
      </w:pPr>
      <w:r>
        <w:rPr>
          <w:b/>
          <w:bCs/>
          <w:color w:val="000000" w:themeColor="text1"/>
          <w:sz w:val="48"/>
          <w:szCs w:val="48"/>
          <w:highlight w:val="none"/>
          <w14:textFill>
            <w14:solidFill>
              <w14:schemeClr w14:val="tx1"/>
            </w14:solidFill>
          </w14:textFill>
        </w:rPr>
        <w:br w:type="page"/>
      </w:r>
      <w:r>
        <w:rPr>
          <w:rFonts w:hint="default" w:ascii="Times New Roman" w:hAnsi="Times New Roman" w:cs="Times New Roman"/>
          <w:b/>
          <w:bCs/>
          <w:szCs w:val="21"/>
          <w:highlight w:val="none"/>
        </w:rPr>
        <w:t>合同编号：</w:t>
      </w:r>
    </w:p>
    <w:p w14:paraId="7C6452EF">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ind w:firstLine="422"/>
        <w:jc w:val="center"/>
        <w:textAlignment w:val="auto"/>
        <w:outlineLvl w:val="1"/>
        <w:rPr>
          <w:rFonts w:hint="default" w:cs="Times New Roman"/>
          <w:b/>
          <w:bCs/>
          <w:sz w:val="36"/>
          <w:szCs w:val="36"/>
          <w:highlight w:val="none"/>
          <w:lang w:val="en-US" w:eastAsia="zh-CN"/>
        </w:rPr>
      </w:pPr>
      <w:bookmarkStart w:id="175" w:name="_Toc12740"/>
      <w:bookmarkStart w:id="176" w:name="_Toc25897"/>
      <w:bookmarkStart w:id="177" w:name="_Toc14531"/>
      <w:bookmarkStart w:id="178" w:name="_Toc14004"/>
      <w:r>
        <w:rPr>
          <w:rFonts w:hint="eastAsia" w:cs="Times New Roman"/>
          <w:b/>
          <w:bCs/>
          <w:sz w:val="36"/>
          <w:szCs w:val="36"/>
          <w:highlight w:val="none"/>
          <w:lang w:eastAsia="zh-CN"/>
        </w:rPr>
        <w:t>长华化学新建二氧化碳聚醚及高性能多元醇项目雨水监控池、事故水池钢板及机械租赁</w:t>
      </w:r>
      <w:r>
        <w:rPr>
          <w:rFonts w:hint="eastAsia" w:cs="Times New Roman"/>
          <w:b/>
          <w:bCs/>
          <w:sz w:val="36"/>
          <w:szCs w:val="36"/>
          <w:highlight w:val="none"/>
          <w:lang w:val="en-US" w:eastAsia="zh-CN"/>
        </w:rPr>
        <w:t>合同</w:t>
      </w:r>
    </w:p>
    <w:bookmarkEnd w:id="175"/>
    <w:bookmarkEnd w:id="176"/>
    <w:bookmarkEnd w:id="177"/>
    <w:bookmarkEnd w:id="178"/>
    <w:p w14:paraId="43ABC452">
      <w:pPr>
        <w:spacing w:line="360" w:lineRule="auto"/>
        <w:ind w:firstLine="422"/>
        <w:outlineLvl w:val="1"/>
        <w:rPr>
          <w:rFonts w:hint="default" w:ascii="Times New Roman" w:hAnsi="Times New Roman" w:cs="Times New Roman"/>
          <w:b/>
          <w:szCs w:val="21"/>
          <w:highlight w:val="none"/>
          <w:u w:val="single"/>
        </w:rPr>
      </w:pPr>
      <w:r>
        <w:rPr>
          <w:rFonts w:hint="default" w:ascii="Times New Roman" w:hAnsi="Times New Roman" w:cs="Times New Roman"/>
          <w:b/>
          <w:szCs w:val="21"/>
          <w:highlight w:val="none"/>
        </w:rPr>
        <w:t>甲方（承租方）：</w:t>
      </w:r>
      <w:r>
        <w:rPr>
          <w:rFonts w:hint="eastAsia" w:cs="Times New Roman"/>
          <w:b/>
          <w:bCs/>
          <w:szCs w:val="21"/>
          <w:highlight w:val="none"/>
          <w:u w:val="single"/>
          <w:lang w:val="en-US" w:eastAsia="zh-CN"/>
        </w:rPr>
        <w:t>连云港徐圩建筑工程有限公司</w:t>
      </w:r>
      <w:r>
        <w:rPr>
          <w:rFonts w:hint="default" w:ascii="Times New Roman" w:hAnsi="Times New Roman" w:cs="Times New Roman"/>
          <w:b/>
          <w:kern w:val="0"/>
          <w:szCs w:val="21"/>
          <w:highlight w:val="none"/>
          <w:u w:val="single"/>
        </w:rPr>
        <w:t xml:space="preserve"> </w:t>
      </w:r>
    </w:p>
    <w:p w14:paraId="7582B62A">
      <w:pPr>
        <w:tabs>
          <w:tab w:val="left" w:pos="6480"/>
        </w:tabs>
        <w:spacing w:line="360" w:lineRule="auto"/>
        <w:ind w:firstLine="422"/>
        <w:outlineLvl w:val="1"/>
        <w:rPr>
          <w:rFonts w:hint="default" w:ascii="Times New Roman" w:hAnsi="Times New Roman" w:cs="Times New Roman"/>
          <w:b/>
          <w:kern w:val="0"/>
          <w:szCs w:val="21"/>
          <w:highlight w:val="none"/>
          <w:u w:val="single"/>
          <w:lang w:val="en-US"/>
        </w:rPr>
      </w:pPr>
      <w:bookmarkStart w:id="179" w:name="_Toc13710"/>
      <w:bookmarkStart w:id="180" w:name="_Toc29685"/>
      <w:bookmarkStart w:id="181" w:name="_Toc31304"/>
      <w:bookmarkStart w:id="182" w:name="_Toc30990"/>
      <w:r>
        <w:rPr>
          <w:rFonts w:hint="default" w:ascii="Times New Roman" w:hAnsi="Times New Roman" w:cs="Times New Roman"/>
          <w:b/>
          <w:szCs w:val="21"/>
          <w:highlight w:val="none"/>
        </w:rPr>
        <w:t>乙方（出租方）：</w:t>
      </w:r>
      <w:bookmarkEnd w:id="179"/>
      <w:bookmarkEnd w:id="180"/>
      <w:bookmarkEnd w:id="181"/>
      <w:bookmarkEnd w:id="182"/>
      <w:r>
        <w:rPr>
          <w:rFonts w:hint="eastAsia" w:cs="Times New Roman"/>
          <w:b/>
          <w:bCs/>
          <w:szCs w:val="21"/>
          <w:highlight w:val="none"/>
          <w:u w:val="single"/>
          <w:lang w:val="en-US" w:eastAsia="zh-CN"/>
        </w:rPr>
        <w:t xml:space="preserve">                           </w:t>
      </w:r>
    </w:p>
    <w:p w14:paraId="6EA8A8A4">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根据《中华人民共和国民法典》及相关法律法规，为明确甲乙双方的权利和义务，按照平等互利、公平自愿、诚实信用的原则，经双方协商同意，签订本合同。条款如下：</w:t>
      </w:r>
    </w:p>
    <w:p w14:paraId="2FD3B9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eastAsia="宋体" w:cs="Times New Roman"/>
          <w:b/>
          <w:bCs/>
          <w:szCs w:val="21"/>
          <w:highlight w:val="none"/>
          <w:lang w:val="en-US" w:eastAsia="zh-CN"/>
        </w:rPr>
      </w:pPr>
      <w:bookmarkStart w:id="183" w:name="_Toc17117"/>
      <w:bookmarkStart w:id="184" w:name="_Toc4951"/>
      <w:r>
        <w:rPr>
          <w:rFonts w:hint="default" w:ascii="Times New Roman" w:hAnsi="Times New Roman" w:cs="Times New Roman"/>
          <w:b/>
          <w:bCs/>
          <w:szCs w:val="21"/>
          <w:highlight w:val="none"/>
        </w:rPr>
        <w:t>第一条  租赁物</w:t>
      </w:r>
      <w:bookmarkEnd w:id="183"/>
      <w:bookmarkEnd w:id="184"/>
      <w:r>
        <w:rPr>
          <w:rFonts w:hint="eastAsia" w:cs="Times New Roman"/>
          <w:b/>
          <w:bCs/>
          <w:szCs w:val="21"/>
          <w:highlight w:val="none"/>
          <w:lang w:val="en-US" w:eastAsia="zh-CN"/>
        </w:rPr>
        <w:t>用途及合同价</w:t>
      </w:r>
    </w:p>
    <w:p w14:paraId="0B17BEB9">
      <w:pPr>
        <w:spacing w:line="360" w:lineRule="auto"/>
        <w:ind w:firstLine="420"/>
        <w:rPr>
          <w:rFonts w:hint="default"/>
          <w:highlight w:val="none"/>
        </w:rPr>
      </w:pPr>
      <w:r>
        <w:rPr>
          <w:rFonts w:hint="default" w:ascii="Times New Roman" w:hAnsi="Times New Roman" w:cs="Times New Roman"/>
          <w:szCs w:val="21"/>
          <w:highlight w:val="none"/>
        </w:rPr>
        <w:t>1、甲方租用乙方</w:t>
      </w:r>
      <w:r>
        <w:rPr>
          <w:rFonts w:hint="eastAsia" w:cs="Times New Roman"/>
          <w:szCs w:val="21"/>
          <w:highlight w:val="none"/>
          <w:lang w:val="en-US" w:eastAsia="zh-CN"/>
        </w:rPr>
        <w:t>钢板桩及</w:t>
      </w:r>
      <w:r>
        <w:rPr>
          <w:rFonts w:hint="default" w:ascii="Times New Roman" w:hAnsi="Times New Roman" w:cs="Times New Roman"/>
          <w:szCs w:val="21"/>
          <w:highlight w:val="none"/>
        </w:rPr>
        <w:t>机械设备用于</w:t>
      </w:r>
      <w:r>
        <w:rPr>
          <w:rFonts w:hint="default" w:ascii="Times New Roman" w:hAnsi="Times New Roman" w:cs="Times New Roman"/>
          <w:b/>
          <w:bCs/>
          <w:szCs w:val="21"/>
          <w:highlight w:val="none"/>
          <w:u w:val="single"/>
        </w:rPr>
        <w:t xml:space="preserve"> </w:t>
      </w:r>
      <w:r>
        <w:rPr>
          <w:rFonts w:hint="eastAsia" w:ascii="Times New Roman" w:hAnsi="Times New Roman" w:cs="Times New Roman"/>
          <w:b/>
          <w:bCs/>
          <w:sz w:val="21"/>
          <w:szCs w:val="21"/>
          <w:highlight w:val="none"/>
          <w:u w:val="single"/>
          <w:lang w:eastAsia="zh-CN"/>
        </w:rPr>
        <w:t>长华化学二氧化碳聚醚及高性能多元醇项目雨水监控池施工</w:t>
      </w:r>
      <w:r>
        <w:rPr>
          <w:rFonts w:hint="eastAsia" w:ascii="Times New Roman" w:hAnsi="Times New Roman" w:cs="Times New Roman"/>
          <w:b/>
          <w:bCs/>
          <w:sz w:val="21"/>
          <w:szCs w:val="21"/>
          <w:highlight w:val="none"/>
          <w:u w:val="single"/>
          <w:lang w:val="en-US" w:eastAsia="zh-CN"/>
        </w:rPr>
        <w:t>项目</w:t>
      </w:r>
      <w:r>
        <w:rPr>
          <w:rFonts w:hint="default" w:ascii="Times New Roman" w:hAnsi="Times New Roman" w:cs="Times New Roman"/>
          <w:b/>
          <w:bCs/>
          <w:szCs w:val="21"/>
          <w:highlight w:val="none"/>
          <w:u w:val="single"/>
        </w:rPr>
        <w:t xml:space="preserve"> </w:t>
      </w:r>
      <w:r>
        <w:rPr>
          <w:rFonts w:hint="default" w:ascii="Times New Roman" w:hAnsi="Times New Roman" w:cs="Times New Roman"/>
          <w:szCs w:val="21"/>
          <w:highlight w:val="none"/>
        </w:rPr>
        <w:t>。</w:t>
      </w:r>
    </w:p>
    <w:p w14:paraId="0AF8C08F">
      <w:pPr>
        <w:spacing w:line="360" w:lineRule="auto"/>
        <w:ind w:firstLine="420"/>
        <w:rPr>
          <w:rFonts w:hint="default" w:ascii="Times New Roman" w:hAnsi="Times New Roman" w:cs="Times New Roman"/>
          <w:highlight w:val="none"/>
        </w:rPr>
      </w:pPr>
      <w:r>
        <w:rPr>
          <w:rFonts w:hint="default" w:ascii="Times New Roman" w:hAnsi="Times New Roman" w:cs="Times New Roman"/>
          <w:szCs w:val="21"/>
          <w:highlight w:val="none"/>
        </w:rPr>
        <w:t>2、</w:t>
      </w:r>
      <w:r>
        <w:rPr>
          <w:rFonts w:hint="default" w:ascii="Times New Roman" w:hAnsi="Times New Roman" w:cs="Times New Roman"/>
          <w:bCs/>
          <w:color w:val="000000"/>
          <w:sz w:val="21"/>
          <w:szCs w:val="21"/>
          <w:highlight w:val="none"/>
        </w:rPr>
        <w:t>签约合同价与合同价格形式</w:t>
      </w:r>
    </w:p>
    <w:p w14:paraId="2E5C8DE4">
      <w:pPr>
        <w:spacing w:line="360" w:lineRule="auto"/>
        <w:ind w:firstLine="422"/>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签约合同价为: ￥</w:t>
      </w:r>
      <w:r>
        <w:rPr>
          <w:rFonts w:hint="default" w:ascii="Times New Roman" w:hAnsi="Times New Roman" w:cs="Times New Roman"/>
          <w:b/>
          <w:color w:val="000000"/>
          <w:szCs w:val="21"/>
          <w:highlight w:val="none"/>
          <w:u w:val="single"/>
        </w:rPr>
        <w:t xml:space="preserve"> </w:t>
      </w:r>
      <w:r>
        <w:rPr>
          <w:rFonts w:hint="eastAsia" w:cs="Times New Roman"/>
          <w:b/>
          <w:color w:val="000000"/>
          <w:szCs w:val="21"/>
          <w:highlight w:val="none"/>
          <w:u w:val="single"/>
          <w:lang w:val="en-US" w:eastAsia="zh-CN"/>
        </w:rPr>
        <w:t xml:space="preserve"> **** </w:t>
      </w:r>
      <w:r>
        <w:rPr>
          <w:rFonts w:hint="default" w:ascii="Times New Roman" w:hAnsi="Times New Roman" w:cs="Times New Roman"/>
          <w:b/>
          <w:color w:val="000000"/>
          <w:szCs w:val="21"/>
          <w:highlight w:val="none"/>
          <w:u w:val="single"/>
        </w:rPr>
        <w:t xml:space="preserve"> </w:t>
      </w:r>
      <w:r>
        <w:rPr>
          <w:rFonts w:hint="default" w:ascii="Times New Roman" w:hAnsi="Times New Roman" w:cs="Times New Roman"/>
          <w:b/>
          <w:color w:val="000000"/>
          <w:szCs w:val="21"/>
          <w:highlight w:val="none"/>
        </w:rPr>
        <w:t>元(大写:</w:t>
      </w:r>
      <w:r>
        <w:rPr>
          <w:rFonts w:hint="eastAsia" w:cs="Times New Roman"/>
          <w:b/>
          <w:color w:val="000000"/>
          <w:szCs w:val="21"/>
          <w:highlight w:val="none"/>
          <w:u w:val="single"/>
          <w:lang w:val="en-US" w:eastAsia="zh-CN"/>
        </w:rPr>
        <w:t xml:space="preserve"> **** </w:t>
      </w:r>
      <w:r>
        <w:rPr>
          <w:rFonts w:hint="default" w:ascii="Times New Roman" w:hAnsi="Times New Roman" w:cs="Times New Roman"/>
          <w:b/>
          <w:color w:val="000000"/>
          <w:szCs w:val="21"/>
          <w:highlight w:val="none"/>
        </w:rPr>
        <w:t xml:space="preserve"> ),合同本价(不含税率): ￥</w:t>
      </w:r>
      <w:r>
        <w:rPr>
          <w:rFonts w:hint="eastAsia" w:cs="Times New Roman"/>
          <w:b/>
          <w:color w:val="000000"/>
          <w:szCs w:val="21"/>
          <w:highlight w:val="none"/>
          <w:u w:val="single"/>
          <w:lang w:val="en-US" w:eastAsia="zh-CN"/>
        </w:rPr>
        <w:t xml:space="preserve"> ****  </w:t>
      </w:r>
      <w:r>
        <w:rPr>
          <w:rFonts w:hint="default" w:ascii="Times New Roman" w:hAnsi="Times New Roman" w:cs="Times New Roman"/>
          <w:b/>
          <w:color w:val="000000"/>
          <w:szCs w:val="21"/>
          <w:highlight w:val="none"/>
        </w:rPr>
        <w:t xml:space="preserve">元(大写: </w:t>
      </w:r>
      <w:r>
        <w:rPr>
          <w:rFonts w:hint="eastAsia" w:cs="Times New Roman"/>
          <w:b/>
          <w:color w:val="000000"/>
          <w:szCs w:val="21"/>
          <w:highlight w:val="none"/>
          <w:u w:val="single"/>
          <w:lang w:val="en-US" w:eastAsia="zh-CN"/>
        </w:rPr>
        <w:t xml:space="preserve"> **** </w:t>
      </w:r>
      <w:r>
        <w:rPr>
          <w:rFonts w:hint="default" w:ascii="Times New Roman" w:hAnsi="Times New Roman" w:cs="Times New Roman"/>
          <w:b/>
          <w:color w:val="000000"/>
          <w:szCs w:val="21"/>
          <w:highlight w:val="none"/>
        </w:rPr>
        <w:t>),开具增值税专用发票,税率</w:t>
      </w:r>
      <w:r>
        <w:rPr>
          <w:rFonts w:hint="eastAsia" w:cs="Times New Roman"/>
          <w:b/>
          <w:color w:val="000000"/>
          <w:szCs w:val="21"/>
          <w:highlight w:val="none"/>
          <w:u w:val="single"/>
          <w:lang w:val="en-US" w:eastAsia="zh-CN"/>
        </w:rPr>
        <w:t xml:space="preserve"> 13 </w:t>
      </w:r>
      <w:r>
        <w:rPr>
          <w:rFonts w:hint="default" w:ascii="Times New Roman" w:hAnsi="Times New Roman" w:cs="Times New Roman"/>
          <w:b/>
          <w:color w:val="000000"/>
          <w:szCs w:val="21"/>
          <w:highlight w:val="none"/>
        </w:rPr>
        <w:t xml:space="preserve">%,增值税金额: </w:t>
      </w:r>
      <w:r>
        <w:rPr>
          <w:rFonts w:hint="default" w:ascii="Times New Roman" w:hAnsi="Times New Roman" w:cs="Times New Roman"/>
          <w:b/>
          <w:color w:val="000000"/>
          <w:szCs w:val="21"/>
          <w:highlight w:val="none"/>
          <w:u w:val="single"/>
        </w:rPr>
        <w:t xml:space="preserve"> </w:t>
      </w:r>
      <w:r>
        <w:rPr>
          <w:rFonts w:hint="eastAsia" w:cs="Times New Roman"/>
          <w:b/>
          <w:color w:val="000000"/>
          <w:szCs w:val="21"/>
          <w:highlight w:val="none"/>
          <w:u w:val="single"/>
          <w:lang w:val="en-US" w:eastAsia="zh-CN"/>
        </w:rPr>
        <w:t>****</w:t>
      </w:r>
      <w:r>
        <w:rPr>
          <w:rFonts w:hint="default" w:ascii="Times New Roman" w:hAnsi="Times New Roman" w:cs="Times New Roman"/>
          <w:b/>
          <w:color w:val="000000"/>
          <w:szCs w:val="21"/>
          <w:highlight w:val="none"/>
          <w:u w:val="single"/>
        </w:rPr>
        <w:t xml:space="preserve"> </w:t>
      </w:r>
      <w:r>
        <w:rPr>
          <w:rFonts w:hint="default" w:ascii="Times New Roman" w:hAnsi="Times New Roman" w:cs="Times New Roman"/>
          <w:b/>
          <w:color w:val="000000"/>
          <w:szCs w:val="21"/>
          <w:highlight w:val="none"/>
        </w:rPr>
        <w:t xml:space="preserve">元(大写: </w:t>
      </w:r>
      <w:r>
        <w:rPr>
          <w:rFonts w:hint="eastAsia" w:cs="Times New Roman"/>
          <w:b/>
          <w:color w:val="000000"/>
          <w:szCs w:val="21"/>
          <w:highlight w:val="none"/>
          <w:u w:val="single"/>
          <w:lang w:val="en-US" w:eastAsia="zh-CN"/>
        </w:rPr>
        <w:t xml:space="preserve">**** </w:t>
      </w:r>
      <w:r>
        <w:rPr>
          <w:rFonts w:hint="default" w:ascii="Times New Roman" w:hAnsi="Times New Roman" w:cs="Times New Roman"/>
          <w:b/>
          <w:color w:val="000000"/>
          <w:szCs w:val="21"/>
          <w:highlight w:val="none"/>
        </w:rPr>
        <w:t>)。</w:t>
      </w:r>
    </w:p>
    <w:p w14:paraId="114ADD02">
      <w:pPr>
        <w:spacing w:line="360" w:lineRule="auto"/>
        <w:ind w:firstLine="422"/>
        <w:rPr>
          <w:rFonts w:hint="default" w:ascii="Times New Roman" w:hAnsi="Times New Roman" w:cs="Times New Roman"/>
          <w:b/>
          <w:kern w:val="0"/>
          <w:szCs w:val="21"/>
          <w:highlight w:val="none"/>
        </w:rPr>
      </w:pPr>
      <w:r>
        <w:rPr>
          <w:rFonts w:hint="default" w:ascii="Times New Roman" w:hAnsi="Times New Roman" w:cs="Times New Roman"/>
          <w:b/>
          <w:color w:val="000000"/>
          <w:szCs w:val="21"/>
          <w:highlight w:val="none"/>
        </w:rPr>
        <w:t>因国家税制改革引发增值税税率的变化,本合同应适用调整后最新税率,合同原约定的不含税价不因税率变化而改变)。本合同应适用调整后最新税率，合同原约定的不含税价不因税率变化而改变；支付方式：现金或银行承兑。</w:t>
      </w:r>
    </w:p>
    <w:p w14:paraId="4299E369">
      <w:pPr>
        <w:keepNext w:val="0"/>
        <w:keepLines w:val="0"/>
        <w:pageBreakBefore w:val="0"/>
        <w:kinsoku/>
        <w:wordWrap/>
        <w:overflowPunct/>
        <w:topLinePunct w:val="0"/>
        <w:bidi w:val="0"/>
        <w:spacing w:line="360" w:lineRule="auto"/>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2.1本项目为</w:t>
      </w:r>
      <w:r>
        <w:rPr>
          <w:rFonts w:hint="default" w:ascii="Times New Roman" w:hAnsi="Times New Roman" w:cs="Times New Roman"/>
          <w:sz w:val="21"/>
          <w:szCs w:val="21"/>
          <w:highlight w:val="none"/>
          <w:u w:val="single"/>
          <w:lang w:val="en-US" w:eastAsia="zh-CN"/>
        </w:rPr>
        <w:t xml:space="preserve"> 全费用固定综合单价 </w:t>
      </w:r>
      <w:r>
        <w:rPr>
          <w:rFonts w:hint="default" w:ascii="Times New Roman" w:hAnsi="Times New Roman" w:cs="Times New Roman"/>
          <w:sz w:val="21"/>
          <w:szCs w:val="21"/>
          <w:highlight w:val="none"/>
          <w:lang w:val="en-US" w:eastAsia="zh-CN"/>
        </w:rPr>
        <w:t>合同，全费用固定单价包含</w:t>
      </w:r>
      <w:r>
        <w:rPr>
          <w:rFonts w:hint="eastAsia" w:cs="Times New Roman"/>
          <w:sz w:val="21"/>
          <w:szCs w:val="21"/>
          <w:highlight w:val="none"/>
          <w:lang w:val="en-US" w:eastAsia="zh-CN"/>
        </w:rPr>
        <w:t>但不限于钢板桩租赁、运输进出场费用、安拆、维护等；施工机械租赁、</w:t>
      </w:r>
      <w:r>
        <w:rPr>
          <w:rFonts w:hint="default" w:ascii="Times New Roman" w:hAnsi="Times New Roman" w:cs="Times New Roman"/>
          <w:sz w:val="21"/>
          <w:szCs w:val="21"/>
          <w:highlight w:val="none"/>
          <w:lang w:val="en-US" w:eastAsia="zh-CN"/>
        </w:rPr>
        <w:t>车辆费用、油料费、规费、折旧费、大修理费、经常修理费及场外运输费、设备险、人工费（含驾驶员）、规费、税费、不可抗力损失费、租价涨幅、延长租期等引起的各类风险费等费用</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还应包括施工方案和施工工艺造成的增量，相关施工规范与工程验收规范可以确定施工技术方案而没有表达的，但是为了实现施工规范与工程验收规范要求而必须发生的技术措施等</w:t>
      </w:r>
      <w:r>
        <w:rPr>
          <w:rFonts w:hint="eastAsia" w:cs="Times New Roman"/>
          <w:sz w:val="21"/>
          <w:szCs w:val="21"/>
          <w:highlight w:val="none"/>
          <w:lang w:val="en-US" w:eastAsia="zh-CN"/>
        </w:rPr>
        <w:t>。</w:t>
      </w:r>
      <w:r>
        <w:rPr>
          <w:rFonts w:hint="default" w:ascii="Times New Roman" w:hAnsi="Times New Roman" w:cs="Times New Roman"/>
          <w:sz w:val="21"/>
          <w:szCs w:val="21"/>
          <w:highlight w:val="none"/>
          <w:lang w:val="en-US" w:eastAsia="zh-CN"/>
        </w:rPr>
        <w:t>以上所述所有费用在施工过程中因施工组织设计和施工方案的改变引起工程内容和数量的改变及措施费用的改变，费用均不予调整。</w:t>
      </w:r>
    </w:p>
    <w:p w14:paraId="35AB4E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因不可抗力事件造成的费用损失由乙方自行承担。</w:t>
      </w:r>
    </w:p>
    <w:p w14:paraId="70082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eastAsia" w:cs="Times New Roman"/>
          <w:sz w:val="21"/>
          <w:szCs w:val="21"/>
          <w:highlight w:val="none"/>
          <w:lang w:val="en-US" w:eastAsia="zh-CN"/>
        </w:rPr>
        <w:t>3钢板桩及</w:t>
      </w:r>
      <w:r>
        <w:rPr>
          <w:rFonts w:hint="default" w:ascii="Times New Roman" w:hAnsi="Times New Roman" w:cs="Times New Roman"/>
          <w:sz w:val="21"/>
          <w:szCs w:val="21"/>
          <w:highlight w:val="none"/>
        </w:rPr>
        <w:t>机械</w:t>
      </w:r>
      <w:r>
        <w:rPr>
          <w:rFonts w:hint="eastAsia" w:cs="Times New Roman"/>
          <w:sz w:val="21"/>
          <w:szCs w:val="21"/>
          <w:highlight w:val="none"/>
          <w:lang w:val="en-US" w:eastAsia="zh-CN"/>
        </w:rPr>
        <w:t>设备的</w:t>
      </w:r>
      <w:r>
        <w:rPr>
          <w:rFonts w:hint="default" w:ascii="Times New Roman" w:hAnsi="Times New Roman" w:cs="Times New Roman"/>
          <w:sz w:val="21"/>
          <w:szCs w:val="21"/>
          <w:highlight w:val="none"/>
        </w:rPr>
        <w:t>操作员</w:t>
      </w:r>
      <w:r>
        <w:rPr>
          <w:rFonts w:hint="eastAsia" w:cs="Times New Roman"/>
          <w:sz w:val="21"/>
          <w:szCs w:val="21"/>
          <w:highlight w:val="none"/>
          <w:lang w:eastAsia="zh-CN"/>
        </w:rPr>
        <w:t>、</w:t>
      </w:r>
      <w:r>
        <w:rPr>
          <w:rFonts w:hint="default" w:ascii="Times New Roman" w:hAnsi="Times New Roman" w:cs="Times New Roman"/>
          <w:sz w:val="21"/>
          <w:szCs w:val="21"/>
          <w:highlight w:val="none"/>
        </w:rPr>
        <w:t>辅助用工</w:t>
      </w:r>
      <w:r>
        <w:rPr>
          <w:rFonts w:hint="default" w:ascii="Times New Roman" w:hAnsi="Times New Roman" w:cs="Times New Roman"/>
          <w:sz w:val="21"/>
          <w:szCs w:val="21"/>
          <w:highlight w:val="none"/>
          <w:lang w:val="en-US" w:eastAsia="zh-CN"/>
        </w:rPr>
        <w:t>，价格包含在合同价款中</w:t>
      </w:r>
      <w:r>
        <w:rPr>
          <w:rFonts w:hint="default" w:ascii="Times New Roman" w:hAnsi="Times New Roman" w:cs="Times New Roman"/>
          <w:sz w:val="21"/>
          <w:szCs w:val="21"/>
          <w:highlight w:val="none"/>
        </w:rPr>
        <w:t>。</w:t>
      </w:r>
    </w:p>
    <w:p w14:paraId="08F0A087">
      <w:pPr>
        <w:pStyle w:val="1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sz w:val="21"/>
          <w:szCs w:val="21"/>
          <w:highlight w:val="none"/>
          <w:lang w:val="en-US" w:eastAsia="zh-CN"/>
        </w:rPr>
        <w:t>2.</w:t>
      </w:r>
      <w:r>
        <w:rPr>
          <w:rFonts w:hint="eastAsia" w:cs="Times New Roman"/>
          <w:sz w:val="21"/>
          <w:szCs w:val="21"/>
          <w:highlight w:val="none"/>
          <w:lang w:val="en-US" w:eastAsia="zh-CN"/>
        </w:rPr>
        <w:t>4钢板桩及</w:t>
      </w:r>
      <w:r>
        <w:rPr>
          <w:rFonts w:hint="default" w:ascii="Times New Roman" w:hAnsi="Times New Roman" w:cs="Times New Roman"/>
          <w:sz w:val="21"/>
          <w:szCs w:val="21"/>
          <w:highlight w:val="none"/>
          <w:lang w:val="en-US" w:eastAsia="zh-CN"/>
        </w:rPr>
        <w:t>租赁</w:t>
      </w:r>
      <w:r>
        <w:rPr>
          <w:rFonts w:hint="eastAsia" w:cs="Times New Roman"/>
          <w:sz w:val="21"/>
          <w:szCs w:val="21"/>
          <w:highlight w:val="none"/>
          <w:lang w:val="en-US" w:eastAsia="zh-CN"/>
        </w:rPr>
        <w:t>机械工程量</w:t>
      </w:r>
      <w:r>
        <w:rPr>
          <w:rFonts w:hint="default" w:ascii="Times New Roman" w:hAnsi="Times New Roman" w:cs="Times New Roman"/>
          <w:sz w:val="21"/>
          <w:szCs w:val="21"/>
          <w:highlight w:val="none"/>
          <w:lang w:val="en-US" w:eastAsia="zh-CN"/>
        </w:rPr>
        <w:t>按实际发生计取。</w:t>
      </w:r>
    </w:p>
    <w:p w14:paraId="088E38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bookmarkStart w:id="185" w:name="_Toc8589"/>
      <w:bookmarkStart w:id="186" w:name="_Toc2178"/>
      <w:r>
        <w:rPr>
          <w:rFonts w:hint="default" w:ascii="Times New Roman" w:hAnsi="Times New Roman" w:cs="Times New Roman"/>
          <w:b/>
          <w:bCs/>
          <w:szCs w:val="21"/>
          <w:highlight w:val="none"/>
        </w:rPr>
        <w:t>第二条  租赁期限及合同变更</w:t>
      </w:r>
      <w:bookmarkEnd w:id="185"/>
      <w:bookmarkEnd w:id="186"/>
    </w:p>
    <w:p w14:paraId="6AB84B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Cs w:val="21"/>
          <w:highlight w:val="none"/>
        </w:rPr>
        <w:t>1、</w:t>
      </w:r>
      <w:r>
        <w:rPr>
          <w:rFonts w:hint="default" w:ascii="Times New Roman" w:hAnsi="Times New Roman" w:cs="Times New Roman"/>
          <w:sz w:val="21"/>
          <w:szCs w:val="21"/>
          <w:highlight w:val="none"/>
        </w:rPr>
        <w:t>本合同租赁日期从</w:t>
      </w:r>
      <w:r>
        <w:rPr>
          <w:rFonts w:hint="default" w:ascii="Times New Roman" w:hAnsi="Times New Roman" w:cs="Times New Roman"/>
          <w:sz w:val="21"/>
          <w:szCs w:val="21"/>
          <w:highlight w:val="none"/>
          <w:u w:val="single"/>
        </w:rPr>
        <w:t>202</w:t>
      </w:r>
      <w:r>
        <w:rPr>
          <w:rFonts w:hint="eastAsia" w:cs="Times New Roman"/>
          <w:sz w:val="21"/>
          <w:szCs w:val="21"/>
          <w:highlight w:val="none"/>
          <w:u w:val="single"/>
          <w:lang w:val="en-US" w:eastAsia="zh-CN"/>
        </w:rPr>
        <w:t>5</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日到</w:t>
      </w:r>
      <w:r>
        <w:rPr>
          <w:rFonts w:hint="default" w:ascii="Times New Roman" w:hAnsi="Times New Roman" w:cs="Times New Roman"/>
          <w:sz w:val="21"/>
          <w:szCs w:val="21"/>
          <w:highlight w:val="none"/>
          <w:u w:val="single"/>
        </w:rPr>
        <w:t>202</w:t>
      </w:r>
      <w:r>
        <w:rPr>
          <w:rFonts w:hint="eastAsia" w:cs="Times New Roman"/>
          <w:sz w:val="21"/>
          <w:szCs w:val="21"/>
          <w:highlight w:val="none"/>
          <w:u w:val="single"/>
          <w:lang w:val="en-US" w:eastAsia="zh-CN"/>
        </w:rPr>
        <w:t>5</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日止，暂定合计租</w:t>
      </w:r>
      <w:r>
        <w:rPr>
          <w:rFonts w:hint="eastAsia" w:cs="Times New Roman"/>
          <w:sz w:val="21"/>
          <w:szCs w:val="21"/>
          <w:highlight w:val="none"/>
          <w:u w:val="single"/>
          <w:lang w:val="en-US" w:eastAsia="zh-CN"/>
        </w:rPr>
        <w:t xml:space="preserve">    </w:t>
      </w:r>
      <w:r>
        <w:rPr>
          <w:rFonts w:hint="default" w:ascii="Times New Roman" w:hAnsi="Times New Roman" w:cs="Times New Roman"/>
          <w:sz w:val="21"/>
          <w:szCs w:val="21"/>
          <w:highlight w:val="none"/>
        </w:rPr>
        <w:t>个月，在合同期内</w:t>
      </w:r>
      <w:r>
        <w:rPr>
          <w:rFonts w:hint="eastAsia" w:cs="Times New Roman"/>
          <w:sz w:val="21"/>
          <w:szCs w:val="21"/>
          <w:highlight w:val="none"/>
          <w:lang w:eastAsia="zh-CN"/>
        </w:rPr>
        <w:t>，</w:t>
      </w:r>
      <w:r>
        <w:rPr>
          <w:rFonts w:hint="default" w:ascii="Times New Roman" w:hAnsi="Times New Roman" w:cs="Times New Roman"/>
          <w:sz w:val="21"/>
          <w:szCs w:val="21"/>
          <w:highlight w:val="none"/>
        </w:rPr>
        <w:t>甲方根据工程的施工需要决定钢板桩</w:t>
      </w:r>
      <w:r>
        <w:rPr>
          <w:rFonts w:hint="eastAsia" w:cs="Times New Roman"/>
          <w:sz w:val="21"/>
          <w:szCs w:val="21"/>
          <w:highlight w:val="none"/>
          <w:lang w:val="en-US" w:eastAsia="zh-CN"/>
        </w:rPr>
        <w:t>及</w:t>
      </w:r>
      <w:r>
        <w:rPr>
          <w:rFonts w:hint="default" w:ascii="Times New Roman" w:hAnsi="Times New Roman" w:cs="Times New Roman"/>
          <w:sz w:val="21"/>
          <w:szCs w:val="21"/>
          <w:highlight w:val="none"/>
        </w:rPr>
        <w:t>施工</w:t>
      </w:r>
      <w:r>
        <w:rPr>
          <w:rFonts w:hint="eastAsia" w:cs="Times New Roman"/>
          <w:sz w:val="21"/>
          <w:szCs w:val="21"/>
          <w:highlight w:val="none"/>
          <w:lang w:val="en-US" w:eastAsia="zh-CN"/>
        </w:rPr>
        <w:t>机械的</w:t>
      </w:r>
      <w:r>
        <w:rPr>
          <w:rFonts w:hint="default" w:ascii="Times New Roman" w:hAnsi="Times New Roman" w:cs="Times New Roman"/>
          <w:sz w:val="21"/>
          <w:szCs w:val="21"/>
          <w:highlight w:val="none"/>
        </w:rPr>
        <w:t>租赁期限。</w:t>
      </w:r>
    </w:p>
    <w:p w14:paraId="31D1CF24">
      <w:pPr>
        <w:pStyle w:val="18"/>
        <w:rPr>
          <w:rFonts w:hint="eastAsia" w:eastAsia="宋体"/>
          <w:highlight w:val="none"/>
          <w:lang w:eastAsia="zh-CN"/>
        </w:rPr>
      </w:pPr>
      <w:r>
        <w:rPr>
          <w:rFonts w:hint="eastAsia"/>
          <w:highlight w:val="none"/>
          <w:lang w:val="en-US" w:eastAsia="zh-CN"/>
        </w:rPr>
        <w:t>2、</w:t>
      </w:r>
      <w:r>
        <w:rPr>
          <w:rFonts w:hint="default"/>
          <w:highlight w:val="none"/>
        </w:rPr>
        <w:t>乙方</w:t>
      </w:r>
      <w:r>
        <w:rPr>
          <w:rFonts w:hint="eastAsia"/>
          <w:highlight w:val="none"/>
          <w:lang w:val="en-US" w:eastAsia="zh-CN"/>
        </w:rPr>
        <w:t>须在</w:t>
      </w:r>
      <w:r>
        <w:rPr>
          <w:rFonts w:hint="default"/>
          <w:highlight w:val="none"/>
        </w:rPr>
        <w:t>20日历天内</w:t>
      </w:r>
      <w:r>
        <w:rPr>
          <w:rFonts w:hint="eastAsia"/>
          <w:highlight w:val="none"/>
          <w:lang w:val="en-US" w:eastAsia="zh-CN"/>
        </w:rPr>
        <w:t>向甲方</w:t>
      </w:r>
      <w:r>
        <w:rPr>
          <w:rFonts w:hint="default"/>
          <w:highlight w:val="none"/>
        </w:rPr>
        <w:t>提供足够作业</w:t>
      </w:r>
      <w:r>
        <w:rPr>
          <w:rFonts w:hint="eastAsia"/>
          <w:highlight w:val="none"/>
          <w:lang w:val="en-US" w:eastAsia="zh-CN"/>
        </w:rPr>
        <w:t>面</w:t>
      </w:r>
      <w:r>
        <w:rPr>
          <w:rFonts w:hint="eastAsia"/>
          <w:highlight w:val="none"/>
          <w:lang w:eastAsia="zh-CN"/>
        </w:rPr>
        <w:t>，</w:t>
      </w:r>
      <w:r>
        <w:rPr>
          <w:rFonts w:hint="eastAsia"/>
          <w:highlight w:val="none"/>
          <w:lang w:val="en-US" w:eastAsia="zh-CN"/>
        </w:rPr>
        <w:t>以便甲方</w:t>
      </w:r>
      <w:r>
        <w:rPr>
          <w:rFonts w:hint="default"/>
          <w:highlight w:val="none"/>
        </w:rPr>
        <w:t>安排劳务开始垫层、钢筋、模板等施工，确保20日历天内完成水池施工</w:t>
      </w:r>
      <w:r>
        <w:rPr>
          <w:rFonts w:hint="eastAsia"/>
          <w:highlight w:val="none"/>
          <w:lang w:eastAsia="zh-CN"/>
        </w:rPr>
        <w:t>。</w:t>
      </w:r>
    </w:p>
    <w:p w14:paraId="15B3CB4D">
      <w:pPr>
        <w:spacing w:line="360" w:lineRule="auto"/>
        <w:ind w:firstLine="420"/>
        <w:rPr>
          <w:rFonts w:hint="default" w:ascii="Times New Roman" w:hAnsi="Times New Roman" w:cs="Times New Roman"/>
          <w:sz w:val="21"/>
          <w:szCs w:val="21"/>
          <w:highlight w:val="none"/>
        </w:rPr>
      </w:pP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、设备进场时间双方确定后乙方将合格的</w:t>
      </w:r>
      <w:r>
        <w:rPr>
          <w:rFonts w:hint="eastAsia" w:cs="Times New Roman"/>
          <w:sz w:val="21"/>
          <w:szCs w:val="21"/>
          <w:highlight w:val="none"/>
          <w:lang w:val="en-US" w:eastAsia="zh-CN"/>
        </w:rPr>
        <w:t>钢板桩、施工</w:t>
      </w:r>
      <w:r>
        <w:rPr>
          <w:rFonts w:hint="default" w:ascii="Times New Roman" w:hAnsi="Times New Roman" w:cs="Times New Roman"/>
          <w:sz w:val="21"/>
          <w:szCs w:val="21"/>
          <w:highlight w:val="none"/>
        </w:rPr>
        <w:t>机械、材料</w:t>
      </w:r>
      <w:r>
        <w:rPr>
          <w:rFonts w:hint="eastAsia" w:cs="Times New Roman"/>
          <w:sz w:val="21"/>
          <w:szCs w:val="21"/>
          <w:highlight w:val="none"/>
          <w:lang w:val="en-US" w:eastAsia="zh-CN"/>
        </w:rPr>
        <w:t>等</w:t>
      </w:r>
      <w:r>
        <w:rPr>
          <w:rFonts w:hint="default" w:ascii="Times New Roman" w:hAnsi="Times New Roman" w:cs="Times New Roman"/>
          <w:sz w:val="21"/>
          <w:szCs w:val="21"/>
          <w:highlight w:val="none"/>
        </w:rPr>
        <w:t>运抵甲方施工现场，确保甲方交验后使用，否则，除本合同约定的不可抗力原因导致延期交付或甲方同意乙方延期交付外，甲方有权单方解除合同，乙方应承担违约责任及因此给甲方造成的经济损失。</w:t>
      </w:r>
    </w:p>
    <w:p w14:paraId="28592E65">
      <w:pPr>
        <w:spacing w:line="360" w:lineRule="auto"/>
        <w:ind w:firstLine="420"/>
        <w:rPr>
          <w:rFonts w:hint="default" w:ascii="Times New Roman" w:hAnsi="Times New Roman" w:cs="Times New Roman"/>
          <w:sz w:val="21"/>
          <w:szCs w:val="21"/>
          <w:highlight w:val="none"/>
        </w:rPr>
      </w:pP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 xml:space="preserve">、甲方在验收时发现租赁设备、材料的型号、规格、能力、数量和技术性能等不符合合同约定或满足甲方施工要求时，乙方必须按甲方要求及时更换或处理。否则，甲方有权解除合同，乙方除承担违约责任外须承担由此给甲方造成的损失。 </w:t>
      </w:r>
    </w:p>
    <w:p w14:paraId="04AE9F90">
      <w:pPr>
        <w:pStyle w:val="18"/>
        <w:rPr>
          <w:rFonts w:hint="eastAsia" w:cs="Times New Roman"/>
          <w:sz w:val="21"/>
          <w:szCs w:val="21"/>
          <w:highlight w:val="none"/>
          <w:lang w:val="en-US" w:eastAsia="zh-CN"/>
        </w:rPr>
      </w:pPr>
      <w:bookmarkStart w:id="187" w:name="_Toc17683"/>
      <w:bookmarkStart w:id="188" w:name="_Toc19231"/>
      <w:r>
        <w:rPr>
          <w:rFonts w:hint="eastAsia" w:cs="Times New Roman"/>
          <w:sz w:val="21"/>
          <w:szCs w:val="21"/>
          <w:highlight w:val="none"/>
          <w:lang w:val="en-US" w:eastAsia="zh-CN"/>
        </w:rPr>
        <w:t>5、每个基坑钢板桩及围檩以验收合格之日后开始计租，拔桩及围檩拆除以通知拔桩拆除当日停租，具体计租和停租时间以双方书面确认单为准。每个基坑拆除时间不得超过7天，并不得影响土建后续施工，特殊情况除外。</w:t>
      </w:r>
    </w:p>
    <w:p w14:paraId="027E2F61">
      <w:pPr>
        <w:rPr>
          <w:rFonts w:hint="default"/>
          <w:highlight w:val="none"/>
          <w:lang w:val="en-US" w:eastAsia="zh-CN"/>
        </w:rPr>
      </w:pPr>
      <w:r>
        <w:rPr>
          <w:rFonts w:hint="eastAsia" w:cs="Times New Roman"/>
          <w:sz w:val="21"/>
          <w:szCs w:val="21"/>
          <w:highlight w:val="none"/>
          <w:lang w:val="en-US" w:eastAsia="zh-CN"/>
        </w:rPr>
        <w:t>6、乙方同意钢板桩、钢管桩、钢围檩、支撑梁、钢柱、牛腿等租赁时间的计量以建设单位确认的天数为准，否则不予结算。</w:t>
      </w:r>
    </w:p>
    <w:p w14:paraId="08DA603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第三条  付款方式</w:t>
      </w:r>
      <w:bookmarkEnd w:id="187"/>
      <w:bookmarkEnd w:id="188"/>
    </w:p>
    <w:p w14:paraId="576A702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cs="Times New Roman"/>
          <w:szCs w:val="21"/>
          <w:highlight w:val="none"/>
        </w:rPr>
        <w:t>1、付款方式：</w:t>
      </w:r>
      <w:r>
        <w:rPr>
          <w:rFonts w:hint="default" w:ascii="Times New Roman" w:hAnsi="Times New Roman" w:eastAsia="宋体" w:cs="Times New Roman"/>
          <w:b/>
          <w:bCs/>
          <w:kern w:val="2"/>
          <w:sz w:val="21"/>
          <w:szCs w:val="21"/>
          <w:highlight w:val="none"/>
          <w:lang w:val="en-US" w:eastAsia="zh-CN" w:bidi="ar-SA"/>
        </w:rPr>
        <w:t>本项目采用以收定支的原则，乙方同意工程款支付基于甲方实际收款为前提。甲方在收到工程款后，将根据乙方完成工程量占甲方应收款项的比例进行支付。</w:t>
      </w:r>
    </w:p>
    <w:p w14:paraId="0B8D1C31">
      <w:pPr>
        <w:pStyle w:val="18"/>
        <w:keepNext w:val="0"/>
        <w:keepLines w:val="0"/>
        <w:pageBreakBefore w:val="0"/>
        <w:widowControl w:val="0"/>
        <w:kinsoku/>
        <w:wordWrap/>
        <w:overflowPunct/>
        <w:topLinePunct w:val="0"/>
        <w:autoSpaceDE/>
        <w:autoSpaceDN/>
        <w:bidi w:val="0"/>
        <w:spacing w:after="0" w:line="360" w:lineRule="auto"/>
        <w:ind w:firstLine="420"/>
        <w:textAlignment w:val="auto"/>
        <w:rPr>
          <w:rFonts w:hint="default" w:ascii="Times New Roman" w:hAnsi="Times New Roman" w:cs="Times New Roman"/>
          <w:highlight w:val="none"/>
        </w:rPr>
      </w:pPr>
      <w:r>
        <w:rPr>
          <w:rFonts w:hint="default" w:ascii="Times New Roman" w:hAnsi="Times New Roman" w:cs="Times New Roman"/>
          <w:szCs w:val="21"/>
          <w:highlight w:val="none"/>
        </w:rPr>
        <w:t>2、每次支付工程款前，乙方必须开具合法的正式等额增值税专用发票（税率为</w:t>
      </w:r>
      <w:r>
        <w:rPr>
          <w:rFonts w:hint="eastAsia" w:cs="Times New Roman"/>
          <w:szCs w:val="21"/>
          <w:highlight w:val="none"/>
          <w:lang w:val="en-US" w:eastAsia="zh-CN"/>
        </w:rPr>
        <w:t>13</w:t>
      </w:r>
      <w:r>
        <w:rPr>
          <w:rFonts w:hint="default" w:ascii="Times New Roman" w:hAnsi="Times New Roman" w:cs="Times New Roman"/>
          <w:szCs w:val="21"/>
          <w:highlight w:val="none"/>
        </w:rPr>
        <w:t>%），甲方收到发票后付款。若乙方未按合同约定及时提供发票，甲方有权拒绝付款的，延迟付款责任由乙方自行承担。因国家税制改革引发增值税税率的变化，本合同应适用调整后最新税率，合同原约定的不含税价不因税率变化而改变。</w:t>
      </w:r>
    </w:p>
    <w:p w14:paraId="7C44C113">
      <w:pPr>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3、支付方式：</w:t>
      </w:r>
      <w:r>
        <w:rPr>
          <w:rFonts w:hint="default" w:ascii="Times New Roman" w:hAnsi="Times New Roman" w:cs="Times New Roman"/>
          <w:b/>
          <w:bCs/>
          <w:szCs w:val="21"/>
          <w:highlight w:val="none"/>
        </w:rPr>
        <w:t>现金或银行承兑</w:t>
      </w:r>
      <w:r>
        <w:rPr>
          <w:rFonts w:hint="eastAsia" w:cs="Times New Roman"/>
          <w:b/>
          <w:bCs/>
          <w:szCs w:val="21"/>
          <w:highlight w:val="none"/>
          <w:lang w:eastAsia="zh-CN"/>
        </w:rPr>
        <w:t>。</w:t>
      </w:r>
      <w:r>
        <w:rPr>
          <w:rFonts w:hint="default" w:ascii="Times New Roman" w:hAnsi="Times New Roman" w:cs="Times New Roman"/>
          <w:b w:val="0"/>
          <w:bCs w:val="0"/>
          <w:szCs w:val="21"/>
          <w:highlight w:val="none"/>
        </w:rPr>
        <w:t>如采用银行承兑支付的，乙方未到承兑期限提取现金的，相关手续费及利息由乙方承担</w:t>
      </w:r>
      <w:r>
        <w:rPr>
          <w:rFonts w:hint="default" w:ascii="Times New Roman" w:hAnsi="Times New Roman" w:cs="Times New Roman"/>
          <w:szCs w:val="21"/>
          <w:highlight w:val="none"/>
        </w:rPr>
        <w:t>。</w:t>
      </w:r>
    </w:p>
    <w:p w14:paraId="146E4B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22"/>
        <w:textAlignment w:val="auto"/>
        <w:outlineLvl w:val="1"/>
        <w:rPr>
          <w:rFonts w:hint="default" w:ascii="Times New Roman" w:hAnsi="Times New Roman" w:cs="Times New Roman"/>
          <w:sz w:val="21"/>
          <w:szCs w:val="21"/>
          <w:highlight w:val="none"/>
        </w:rPr>
      </w:pPr>
      <w:bookmarkStart w:id="189" w:name="_Toc4701"/>
      <w:bookmarkStart w:id="190" w:name="_Toc24943"/>
      <w:r>
        <w:rPr>
          <w:rFonts w:hint="default" w:ascii="Times New Roman" w:hAnsi="Times New Roman" w:cs="Times New Roman"/>
          <w:b/>
          <w:bCs/>
          <w:szCs w:val="21"/>
          <w:highlight w:val="none"/>
        </w:rPr>
        <w:t>第四条  租赁设备的维修及费用</w:t>
      </w:r>
      <w:bookmarkEnd w:id="189"/>
      <w:bookmarkEnd w:id="190"/>
    </w:p>
    <w:p w14:paraId="66E2B478">
      <w:pPr>
        <w:keepNext w:val="0"/>
        <w:keepLines w:val="0"/>
        <w:pageBreakBefore w:val="0"/>
        <w:kinsoku/>
        <w:wordWrap/>
        <w:overflowPunct/>
        <w:topLinePunct w:val="0"/>
        <w:bidi w:val="0"/>
        <w:spacing w:line="360" w:lineRule="auto"/>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1、设备在租赁期间内由甲方使用，机械的维修及保养由乙方负责。</w:t>
      </w:r>
    </w:p>
    <w:p w14:paraId="3F173F7C">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2、设备在租赁期间每月可有1天的维修保养时间。维修保养时间需经过双方协商后确定，乙方应在约定好的时段内进行维修保养，不得影响甲方施工进度。</w:t>
      </w:r>
    </w:p>
    <w:p w14:paraId="3B1448DC">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3、租赁期间内机械的</w:t>
      </w:r>
      <w:r>
        <w:rPr>
          <w:rFonts w:hint="eastAsia" w:cs="Times New Roman"/>
          <w:sz w:val="21"/>
          <w:szCs w:val="21"/>
          <w:highlight w:val="none"/>
          <w:lang w:val="en-US" w:eastAsia="zh-CN"/>
        </w:rPr>
        <w:t>燃油</w:t>
      </w:r>
      <w:r>
        <w:rPr>
          <w:rFonts w:hint="default" w:ascii="Times New Roman" w:hAnsi="Times New Roman" w:cs="Times New Roman"/>
          <w:sz w:val="21"/>
          <w:szCs w:val="21"/>
          <w:highlight w:val="none"/>
        </w:rPr>
        <w:t>由</w:t>
      </w:r>
      <w:r>
        <w:rPr>
          <w:rFonts w:hint="default" w:ascii="Times New Roman" w:hAnsi="Times New Roman" w:cs="Times New Roman"/>
          <w:sz w:val="21"/>
          <w:szCs w:val="21"/>
          <w:highlight w:val="none"/>
          <w:lang w:val="en-US" w:eastAsia="zh-CN"/>
        </w:rPr>
        <w:t>乙方</w:t>
      </w:r>
      <w:r>
        <w:rPr>
          <w:rFonts w:hint="default" w:ascii="Times New Roman" w:hAnsi="Times New Roman" w:cs="Times New Roman"/>
          <w:sz w:val="21"/>
          <w:szCs w:val="21"/>
          <w:highlight w:val="none"/>
        </w:rPr>
        <w:t>提供并承担费用。</w:t>
      </w:r>
    </w:p>
    <w:p w14:paraId="2DBD1566">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4、如因乙方维修不及时导致甲方租赁设备无法正常使用，则甲方有权拒付设备无法正常使用期间的租金。</w:t>
      </w:r>
    </w:p>
    <w:p w14:paraId="78F5AD6A">
      <w:pPr>
        <w:keepNext w:val="0"/>
        <w:keepLines w:val="0"/>
        <w:pageBreakBefore w:val="0"/>
        <w:kinsoku/>
        <w:wordWrap/>
        <w:overflowPunct/>
        <w:topLinePunct w:val="0"/>
        <w:bidi w:val="0"/>
        <w:spacing w:line="360" w:lineRule="auto"/>
        <w:ind w:firstLine="420" w:firstLineChars="200"/>
        <w:textAlignment w:val="auto"/>
        <w:rPr>
          <w:rFonts w:hint="default"/>
          <w:highlight w:val="none"/>
        </w:rPr>
      </w:pP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、乙方在签订本合同前已自行现场勘查并确认所提供的设备适合本次施工现场的要求。不得再以施工现场不符合设备使用要求为由提出任何的要求、索赔或延误。</w:t>
      </w:r>
    </w:p>
    <w:p w14:paraId="4D9B63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bookmarkStart w:id="191" w:name="_Toc26240"/>
      <w:bookmarkStart w:id="192" w:name="_Toc28437"/>
      <w:r>
        <w:rPr>
          <w:rFonts w:hint="default" w:ascii="Times New Roman" w:hAnsi="Times New Roman" w:cs="Times New Roman"/>
          <w:b/>
          <w:bCs/>
          <w:szCs w:val="21"/>
          <w:highlight w:val="none"/>
        </w:rPr>
        <w:t>第五条  甲方的权利和义务</w:t>
      </w:r>
      <w:bookmarkEnd w:id="191"/>
      <w:bookmarkEnd w:id="192"/>
    </w:p>
    <w:p w14:paraId="5027B2A2">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bookmarkStart w:id="193" w:name="_Toc15379"/>
      <w:bookmarkStart w:id="194" w:name="_Toc25220"/>
      <w:r>
        <w:rPr>
          <w:rFonts w:hint="default" w:ascii="Times New Roman" w:hAnsi="Times New Roman" w:cs="Times New Roman"/>
          <w:sz w:val="21"/>
          <w:szCs w:val="21"/>
          <w:highlight w:val="none"/>
        </w:rPr>
        <w:t>1、甲方有权按约定的方法或租赁物的性质使用租赁物，有权对乙方进场设备进行验收，清场不符合安全要求或影响工程质量的机械设备。</w:t>
      </w:r>
    </w:p>
    <w:p w14:paraId="036B2E50">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设备在使用中如因机况较差或发生严重设备故障而影响甲方施工时，甲方有权要求乙方及时更换设备、承担甲方误工损失，包括但不限于甲方人员工资损失、工期延误损失等。甲方应及时通知乙方，乙方必须在24小时内修复，若24小时修不好，则从设备故障算起36小时内须调换到位。出现前述乙方不及时维修或更换的情形超过3次的，甲方有权解除本合同。</w:t>
      </w:r>
    </w:p>
    <w:p w14:paraId="5E67A83C">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3、甲方应合理安排设备及机手的工作，不得强迫机手违章作业。</w:t>
      </w:r>
    </w:p>
    <w:p w14:paraId="0421F5FC">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4、甲方有权安排乙方驾驶员施工工作，乙方驾驶员要配合好甲方安排。</w:t>
      </w:r>
    </w:p>
    <w:p w14:paraId="04C44CA7">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5、甲方有机械加班要求时，乙方必须无条件配合。甲方不再支付任何加班费用。如不服从甲方加班安排，甲方有权利无条件解除本租赁合同。</w:t>
      </w:r>
    </w:p>
    <w:p w14:paraId="68D5AF1E">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6、乙方承担在租赁期内发生的非甲方责任造成的租赁设备的毁损和灭失的风险。在租赁物发生毁损和灭失时，甲方应及时通知乙方，甲方有权选择下列方式之一，由乙方负责处理并承担其一切费用。</w:t>
      </w:r>
    </w:p>
    <w:p w14:paraId="77A7EA61">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（1）要求乙方将租赁设备复原或修理至完全能正常使用的状态。</w:t>
      </w:r>
    </w:p>
    <w:p w14:paraId="7ED61A31">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（2）要求乙方更换与租赁设备同等型号、性能的部件或配件使其能正常使用。</w:t>
      </w:r>
    </w:p>
    <w:p w14:paraId="2076953E">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（3）当租赁设备毁损至无法修理的程度时，乙方应更换同等型号性能的物资及时进场继续施工。</w:t>
      </w:r>
    </w:p>
    <w:p w14:paraId="11149438">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（4）当乙方不能更换同等型号性能的设备及时进场继续施工时，则视为该租赁设备自动退场，该租赁设备毁损的日期即为退场日期。</w:t>
      </w:r>
    </w:p>
    <w:p w14:paraId="3853EAA3">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7、如乙方所配操作工不服从甲方正常的工作调派，甲方有权要求乙方更换，如乙方操作不当，引起材料浪费，甲方有权要求乙方赔偿。</w:t>
      </w:r>
    </w:p>
    <w:p w14:paraId="78AFC8E9">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8、甲方需提前至少半个工作日通知乙方进入现场作业。</w:t>
      </w:r>
    </w:p>
    <w:p w14:paraId="7D6018E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第六条  乙方的权利和义务</w:t>
      </w:r>
      <w:bookmarkEnd w:id="193"/>
      <w:bookmarkEnd w:id="194"/>
    </w:p>
    <w:p w14:paraId="54144F6E">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1、乙方进场的设备性能良好，各类防护设施齐全，能够符合安全要求和满足工程质量要求。配合项目部相关部门组织验收，并提供设备及操作人员相关证件。</w:t>
      </w:r>
    </w:p>
    <w:p w14:paraId="4EE6EE4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2、乙方派出的机驾人员应服从甲方因施工需要做出的合理安排，参照遵守甲方施工现场规章制度，如机驾人员违规操作，甲方可要求乙方更换机驾人员。</w:t>
      </w:r>
    </w:p>
    <w:p w14:paraId="4B7EFE9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3、乙方派出的机驾人员的劳动、劳务关系属于乙方与机驾人员之间，与甲方无关。</w:t>
      </w:r>
    </w:p>
    <w:p w14:paraId="353CE29F">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乙方应保证租赁物在租赁期内不被第三人主张权利。乙方应确保租赁设备所有权明晰，不存在任何权利瑕疵。如第三人向甲方主张任何权利，影响合同的履行，乙方应承担由此引起的一切法律责任和费用及赔偿承租方的一切损失。</w:t>
      </w:r>
    </w:p>
    <w:p w14:paraId="55E78FC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5、乙方承担租赁设备的维修及与之相关的费用。</w:t>
      </w:r>
    </w:p>
    <w:p w14:paraId="2992A611">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6、乙方</w:t>
      </w:r>
      <w:r>
        <w:rPr>
          <w:rFonts w:hint="default" w:ascii="Times New Roman" w:hAnsi="Times New Roman" w:cs="Times New Roman"/>
          <w:sz w:val="21"/>
          <w:szCs w:val="21"/>
          <w:highlight w:val="none"/>
          <w:lang w:val="en-US" w:eastAsia="zh-CN"/>
        </w:rPr>
        <w:t>应根据甲方要求</w:t>
      </w:r>
      <w:r>
        <w:rPr>
          <w:rFonts w:hint="default" w:ascii="Times New Roman" w:hAnsi="Times New Roman" w:cs="Times New Roman"/>
          <w:sz w:val="21"/>
          <w:szCs w:val="21"/>
          <w:highlight w:val="none"/>
        </w:rPr>
        <w:t>派机械手，机械手应服从甲方因工作需要的安排和合理化管理，不得无故脱岗。在确定机械正常运作的情况下，有特殊情况服从甲方因工作需要的安排和合理化管理。</w:t>
      </w:r>
    </w:p>
    <w:p w14:paraId="6B475D8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乙方必须按照安全操作规程施工，还应按照国家及地方规定及时办理机械设备在当地的检验、检测、备案等相关手续，并向甲方提供设备的档案资料及相关的证明文件、机械设备的有效准用证件。操作工必须持证上岗，并交由甲方备案。</w:t>
      </w:r>
    </w:p>
    <w:p w14:paraId="452314A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Cs w:val="22"/>
          <w:highlight w:val="none"/>
          <w:lang w:val="en-US" w:eastAsia="zh-CN"/>
        </w:rPr>
      </w:pPr>
      <w:r>
        <w:rPr>
          <w:rFonts w:hint="default" w:ascii="Times New Roman" w:hAnsi="Times New Roman" w:cs="Times New Roman"/>
          <w:szCs w:val="22"/>
          <w:highlight w:val="none"/>
          <w:lang w:val="en-US" w:eastAsia="zh-CN"/>
        </w:rPr>
        <w:t>8、</w:t>
      </w:r>
      <w:r>
        <w:rPr>
          <w:rFonts w:hint="eastAsia" w:ascii="宋体" w:hAnsi="宋体" w:cs="宋体"/>
          <w:szCs w:val="22"/>
          <w:highlight w:val="none"/>
          <w:lang w:val="en-US" w:eastAsia="zh-CN"/>
        </w:rPr>
        <w:t>施工过程中与周围发生的纠纷由乙方自行协商解决，费用由乙方自理，该费用应包含在竞标报价中。因不可抗力事件导致的费用，双方应按以下原则分别承担并调整工程价款。因乙方原因导致第三方人员伤亡和财产损失的，由乙方承担；乙方人员伤亡由其所在单位负责，并承担相应费用，与甲方无关；乙方的施工机械设备的损坏及停工损失，由乙方承担。</w:t>
      </w:r>
    </w:p>
    <w:p w14:paraId="250E339A">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9、乙方有义务配合甲方对操作人员进行任务交底、安全交底工作、安全教育、发放安全防护用具。</w:t>
      </w:r>
    </w:p>
    <w:p w14:paraId="5F2D8681">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10、乙方应确保其提供给甲方的设备不存在所有权争议。如发生争议，乙方应承担由此引起纠纷的一切法律责任、费用和甲方的一切损失。</w:t>
      </w:r>
    </w:p>
    <w:p w14:paraId="0C959786">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11、乙方负责工作期间租赁设备和操作司机的安全，严禁违章操作，如违章操作造成机械和人员的损伤，乙方承担一切责任损失。</w:t>
      </w:r>
    </w:p>
    <w:p w14:paraId="4FCFEC43">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12、乙方应服从甲方的合理安排，真正做到安全高效。在设备租赁期间，非甲方原因造成的交通事故及安全事故，由乙方自行承担有关责任和经济损失。</w:t>
      </w:r>
    </w:p>
    <w:p w14:paraId="23D8E883">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13、乙方不得以资金不到位等理由产生怠工、罢工等情况并不得拖欠驾驶员及管理人员工资、机械租赁费等费用，如出现相关人员到甲方申诉等情况，乙方除承担上述费用外，还需承担相关方申诉金额双倍的赔偿金，作为甲方名誉损失。以上费用经甲方确认后，甲方有权利直接从工程款或历年来甲方欠乙方款项中扣除并代为支付。</w:t>
      </w:r>
    </w:p>
    <w:p w14:paraId="68D13718">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14、在生产过程中因乙方行为导致甲方或第三人设备损坏或甲方工作人员或第三人伤害，由乙方承担一切责任损失。</w:t>
      </w:r>
    </w:p>
    <w:p w14:paraId="03C5D798">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15、乙方进场施工人员由于身体健康、违章操作的，造成自身或他人伤亡事故的，由乙方承担事故发生的一切费用。</w:t>
      </w:r>
    </w:p>
    <w:p w14:paraId="0A96171E">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16、施工中机械设施、施工及生活用水用电费用等均由乙方承担。</w:t>
      </w:r>
    </w:p>
    <w:p w14:paraId="4A3FDDD5">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17、因施工可能会造成原有成品破坏的，乙方应综合考虑现场破坏及恢复费用，有关成品保护及恢复费用，由此产生的费用包含在响应报价中。</w:t>
      </w:r>
    </w:p>
    <w:p w14:paraId="39C51FF2">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18、乙方必须在合同签订后2日内购买保额不低于120万元的团体意外伤害险，施工进场前提供保单证明材料，如未足额购买，结算时将按保费双倍扣除。</w:t>
      </w:r>
    </w:p>
    <w:p w14:paraId="6A6EFFDA">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19、乙方需安排专人进行工程及工人实名制资料的编写、整理、报验、收集、归档等，费用已在报价清单内综合考虑。工程竣工验收后15天内向甲方提供竣工结算资料，并提出结算申请。乙方提供的结算资料由甲方项目部验收证明、工程量明细、变更认价单及其他涉及工程造价的相关资料。</w:t>
      </w:r>
    </w:p>
    <w:p w14:paraId="0A1E51AD">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20、乙方需提前自行踏勘现场，并接受现场的现状场地条件。</w:t>
      </w:r>
    </w:p>
    <w:p w14:paraId="5E36CC45">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21、乙方需自行放线和测量高程，且满足设计和规范要求。</w:t>
      </w:r>
    </w:p>
    <w:p w14:paraId="23008D22">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22、乙方需自行将水、电接入现场，并挂表缴费，费用按建设单位价格执行。</w:t>
      </w:r>
    </w:p>
    <w:p w14:paraId="565C28B9">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23、现场已有场地硬化部位不得随意破除，破除前需甲方确认后方可实施。</w:t>
      </w:r>
    </w:p>
    <w:p w14:paraId="738937B1">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24、若打桩前现场场地不满足机械承载力需求场地固化及破除局部硬化地坪费用在投标报价内综合考虑。</w:t>
      </w:r>
    </w:p>
    <w:p w14:paraId="2ED1D363">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25、乙方需提供完整的竣工资料，并确保总包单位接收，否则视为未完成竣工验收。</w:t>
      </w:r>
    </w:p>
    <w:p w14:paraId="724AAED6">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26、因乙方原因导致采购人产生的各种罚款，费用由乙方承担。</w:t>
      </w:r>
    </w:p>
    <w:p w14:paraId="43E52E76">
      <w:pPr>
        <w:pStyle w:val="47"/>
        <w:keepNext w:val="0"/>
        <w:keepLines w:val="0"/>
        <w:pageBreakBefore w:val="0"/>
        <w:widowControl w:val="0"/>
        <w:kinsoku/>
        <w:wordWrap/>
        <w:overflowPunct/>
        <w:topLinePunct w:val="0"/>
        <w:autoSpaceDE/>
        <w:autoSpaceDN/>
        <w:bidi w:val="0"/>
        <w:adjustRightInd/>
        <w:snapToGrid/>
        <w:spacing w:before="0"/>
        <w:textAlignment w:val="auto"/>
        <w:rPr>
          <w:rFonts w:hint="eastAsia"/>
          <w:highlight w:val="none"/>
          <w:lang w:val="en-US" w:eastAsia="zh-CN"/>
        </w:rPr>
      </w:pPr>
      <w:r>
        <w:rPr>
          <w:rFonts w:hint="eastAsia"/>
          <w:highlight w:val="none"/>
          <w:lang w:val="en-US" w:eastAsia="zh-CN"/>
        </w:rPr>
        <w:t>27、乙方现场作业所必须使用铺设钢板优先向采购人租赁，装卸费、运输费及现场调运费等由乙方承担，如有损坏或遗失按照10000元/块赔偿采购人。</w:t>
      </w:r>
    </w:p>
    <w:p w14:paraId="29E66E9F">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sz w:val="21"/>
          <w:szCs w:val="21"/>
          <w:highlight w:val="none"/>
          <w:lang w:eastAsia="zh-CN"/>
        </w:rPr>
      </w:pPr>
      <w:bookmarkStart w:id="195" w:name="_Toc18598"/>
      <w:bookmarkStart w:id="196" w:name="_Toc29558"/>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机械设备操作人员的食宿自理，</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不提供办公场地</w:t>
      </w:r>
      <w:r>
        <w:rPr>
          <w:rFonts w:hint="eastAsia" w:ascii="宋体" w:hAnsi="宋体" w:eastAsia="宋体" w:cs="宋体"/>
          <w:sz w:val="21"/>
          <w:szCs w:val="21"/>
          <w:highlight w:val="none"/>
          <w:lang w:eastAsia="zh-CN"/>
        </w:rPr>
        <w:t>。</w:t>
      </w:r>
    </w:p>
    <w:p w14:paraId="20DAE302">
      <w:pPr>
        <w:pStyle w:val="18"/>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29</w:t>
      </w:r>
      <w:r>
        <w:rPr>
          <w:rFonts w:hint="eastAsia" w:ascii="宋体" w:hAnsi="宋体" w:eastAsia="宋体" w:cs="宋体"/>
          <w:color w:val="000000"/>
          <w:kern w:val="0"/>
          <w:sz w:val="21"/>
          <w:szCs w:val="21"/>
          <w:highlight w:val="none"/>
          <w:lang w:val="en-US" w:eastAsia="zh-CN" w:bidi="ar"/>
        </w:rPr>
        <w:t>、乙方</w:t>
      </w:r>
      <w:r>
        <w:rPr>
          <w:rFonts w:hint="eastAsia" w:ascii="宋体" w:hAnsi="宋体" w:eastAsia="宋体" w:cs="宋体"/>
          <w:color w:val="000000"/>
          <w:kern w:val="0"/>
          <w:sz w:val="21"/>
          <w:szCs w:val="21"/>
          <w:highlight w:val="none"/>
          <w:lang w:bidi="ar"/>
        </w:rPr>
        <w:t>工作内容包括但不限于：钢板桩、围檩及支撑、维护构件、立柱桩的进退场运输、倒运、短驳、加工、打拔、安装、焊接、加固、维护、拆除、转场、完工、钢板铺设及进出场清理、6个百分之百、排水、施工图纸所列的全部工作内容</w:t>
      </w:r>
      <w:r>
        <w:rPr>
          <w:rFonts w:hint="eastAsia" w:ascii="宋体" w:hAnsi="宋体" w:eastAsia="宋体" w:cs="宋体"/>
          <w:color w:val="000000"/>
          <w:kern w:val="0"/>
          <w:sz w:val="21"/>
          <w:szCs w:val="21"/>
          <w:highlight w:val="none"/>
          <w:lang w:eastAsia="zh-CN" w:bidi="ar"/>
        </w:rPr>
        <w:t>。</w:t>
      </w:r>
    </w:p>
    <w:p w14:paraId="790C216D">
      <w:pPr>
        <w:pStyle w:val="18"/>
        <w:rPr>
          <w:rFonts w:hint="default"/>
          <w:highlight w:val="none"/>
          <w:lang w:val="en-US" w:eastAsia="zh-CN"/>
        </w:rPr>
      </w:pPr>
      <w:r>
        <w:rPr>
          <w:rFonts w:hint="eastAsia" w:ascii="宋体" w:hAnsi="宋体" w:eastAsia="宋体" w:cs="宋体"/>
          <w:sz w:val="21"/>
          <w:szCs w:val="21"/>
          <w:highlight w:val="none"/>
          <w:lang w:val="en-US" w:eastAsia="zh-CN"/>
        </w:rPr>
        <w:t>30、现</w:t>
      </w:r>
      <w:r>
        <w:rPr>
          <w:rFonts w:hint="eastAsia" w:cs="Times New Roman"/>
          <w:sz w:val="21"/>
          <w:szCs w:val="21"/>
          <w:highlight w:val="none"/>
          <w:lang w:val="en-US" w:eastAsia="zh-CN"/>
        </w:rPr>
        <w:t>场钢板桩施工开沟槽及相关配合施工由乙方负责，相关费用包含在投标报价中。</w:t>
      </w:r>
    </w:p>
    <w:p w14:paraId="0995E688">
      <w:pPr>
        <w:keepNext w:val="0"/>
        <w:keepLines w:val="0"/>
        <w:pageBreakBefore w:val="0"/>
        <w:widowControl w:val="0"/>
        <w:kinsoku/>
        <w:wordWrap/>
        <w:overflowPunct/>
        <w:topLinePunct w:val="0"/>
        <w:autoSpaceDE/>
        <w:autoSpaceDN/>
        <w:bidi w:val="0"/>
        <w:adjustRightInd/>
        <w:snapToGrid/>
        <w:spacing w:line="360" w:lineRule="auto"/>
        <w:ind w:firstLine="422"/>
        <w:textAlignment w:val="auto"/>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第七条  运输方式及费用承担</w:t>
      </w:r>
      <w:bookmarkEnd w:id="195"/>
      <w:bookmarkEnd w:id="196"/>
    </w:p>
    <w:p w14:paraId="0B28161A">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color w:val="FF0000"/>
          <w:sz w:val="21"/>
          <w:szCs w:val="21"/>
          <w:highlight w:val="none"/>
        </w:rPr>
      </w:pPr>
      <w:r>
        <w:rPr>
          <w:rFonts w:hint="default" w:ascii="Times New Roman" w:hAnsi="Times New Roman" w:cs="Times New Roman"/>
          <w:sz w:val="21"/>
          <w:szCs w:val="21"/>
          <w:highlight w:val="none"/>
        </w:rPr>
        <w:t>1、甲方指定运输方式为：汽运。</w:t>
      </w:r>
    </w:p>
    <w:p w14:paraId="3A30A3A2">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2、乙方负责将设备从存放地点运至甲方指定地点，具体位置由甲方提供。</w:t>
      </w:r>
    </w:p>
    <w:p w14:paraId="24B37D79">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bCs/>
          <w:sz w:val="21"/>
          <w:szCs w:val="21"/>
          <w:highlight w:val="none"/>
        </w:rPr>
        <w:t>设备进场</w:t>
      </w:r>
      <w:r>
        <w:rPr>
          <w:rFonts w:hint="default" w:ascii="Times New Roman" w:hAnsi="Times New Roman" w:cs="Times New Roman"/>
          <w:bCs/>
          <w:sz w:val="21"/>
          <w:szCs w:val="21"/>
          <w:highlight w:val="none"/>
          <w:lang w:eastAsia="zh-CN"/>
        </w:rPr>
        <w:t>、</w:t>
      </w:r>
      <w:r>
        <w:rPr>
          <w:rFonts w:hint="default" w:ascii="Times New Roman" w:hAnsi="Times New Roman" w:cs="Times New Roman"/>
          <w:bCs/>
          <w:sz w:val="21"/>
          <w:szCs w:val="21"/>
          <w:highlight w:val="none"/>
          <w:lang w:val="en-US" w:eastAsia="zh-CN"/>
        </w:rPr>
        <w:t>退场</w:t>
      </w:r>
      <w:r>
        <w:rPr>
          <w:rFonts w:hint="default" w:ascii="Times New Roman" w:hAnsi="Times New Roman" w:cs="Times New Roman"/>
          <w:bCs/>
          <w:sz w:val="21"/>
          <w:szCs w:val="21"/>
          <w:highlight w:val="none"/>
        </w:rPr>
        <w:t>费用由</w:t>
      </w:r>
      <w:r>
        <w:rPr>
          <w:rFonts w:hint="default" w:ascii="Times New Roman" w:hAnsi="Times New Roman" w:cs="Times New Roman"/>
          <w:bCs/>
          <w:sz w:val="21"/>
          <w:szCs w:val="21"/>
          <w:highlight w:val="none"/>
          <w:lang w:val="en-US" w:eastAsia="zh-CN"/>
        </w:rPr>
        <w:t>乙</w:t>
      </w:r>
      <w:r>
        <w:rPr>
          <w:rFonts w:hint="default" w:ascii="Times New Roman" w:hAnsi="Times New Roman" w:cs="Times New Roman"/>
          <w:bCs/>
          <w:sz w:val="21"/>
          <w:szCs w:val="21"/>
          <w:highlight w:val="none"/>
        </w:rPr>
        <w:t>方承担</w:t>
      </w:r>
      <w:r>
        <w:rPr>
          <w:rFonts w:hint="default" w:ascii="Times New Roman" w:hAnsi="Times New Roman" w:cs="Times New Roman"/>
          <w:sz w:val="21"/>
          <w:szCs w:val="21"/>
          <w:highlight w:val="none"/>
        </w:rPr>
        <w:t>。</w:t>
      </w:r>
    </w:p>
    <w:p w14:paraId="5C9C02F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bookmarkStart w:id="197" w:name="_Toc32099"/>
      <w:bookmarkStart w:id="198" w:name="_Toc12713"/>
      <w:r>
        <w:rPr>
          <w:rFonts w:hint="default" w:ascii="Times New Roman" w:hAnsi="Times New Roman" w:cs="Times New Roman"/>
          <w:b/>
          <w:bCs/>
          <w:szCs w:val="21"/>
          <w:highlight w:val="none"/>
        </w:rPr>
        <w:t>第八条  违约责任</w:t>
      </w:r>
      <w:bookmarkEnd w:id="197"/>
      <w:bookmarkEnd w:id="198"/>
    </w:p>
    <w:p w14:paraId="6C9BBA1B">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1、乙方未按时间提供租赁设备，应向甲方偿付</w:t>
      </w:r>
      <w:r>
        <w:rPr>
          <w:rFonts w:hint="eastAsia" w:cs="Times New Roman"/>
          <w:sz w:val="21"/>
          <w:szCs w:val="21"/>
          <w:highlight w:val="none"/>
          <w:lang w:eastAsia="zh-CN"/>
        </w:rPr>
        <w:t>合同总价</w:t>
      </w:r>
      <w:r>
        <w:rPr>
          <w:rFonts w:hint="default" w:ascii="Times New Roman" w:hAnsi="Times New Roman" w:cs="Times New Roman"/>
          <w:sz w:val="21"/>
          <w:szCs w:val="21"/>
          <w:highlight w:val="none"/>
        </w:rPr>
        <w:t>10%的违约金,并按甲方许可的期限内提供。如未在许可的期限内提供租赁设备，甲方书面通知乙方终止合同，由此造成的损失由乙方负责。</w:t>
      </w:r>
    </w:p>
    <w:p w14:paraId="0F39A85B">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2、乙方未按合同约定的品牌、规格、型号等特征提供租赁设备，应向甲方偿付</w:t>
      </w:r>
      <w:r>
        <w:rPr>
          <w:rFonts w:hint="eastAsia" w:cs="Times New Roman"/>
          <w:sz w:val="21"/>
          <w:szCs w:val="21"/>
          <w:highlight w:val="none"/>
          <w:lang w:eastAsia="zh-CN"/>
        </w:rPr>
        <w:t>合同总价</w:t>
      </w:r>
      <w:r>
        <w:rPr>
          <w:rFonts w:hint="default" w:ascii="Times New Roman" w:hAnsi="Times New Roman" w:cs="Times New Roman"/>
          <w:sz w:val="21"/>
          <w:szCs w:val="21"/>
          <w:highlight w:val="none"/>
        </w:rPr>
        <w:t>10%的违约金，并按甲方要求尽快提供合格的设备。</w:t>
      </w:r>
    </w:p>
    <w:p w14:paraId="70A736D4">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3、乙方未按照甲方要求或国家及施工所在地相关规定按时完成设备检测备案相关手续，致使甲方不能按期使用，应向甲方偿付</w:t>
      </w:r>
      <w:r>
        <w:rPr>
          <w:rFonts w:hint="eastAsia" w:cs="Times New Roman"/>
          <w:sz w:val="21"/>
          <w:szCs w:val="21"/>
          <w:highlight w:val="none"/>
          <w:lang w:eastAsia="zh-CN"/>
        </w:rPr>
        <w:t>合同总价</w:t>
      </w:r>
      <w:r>
        <w:rPr>
          <w:rFonts w:hint="default" w:ascii="Times New Roman" w:hAnsi="Times New Roman" w:cs="Times New Roman"/>
          <w:sz w:val="21"/>
          <w:szCs w:val="21"/>
          <w:highlight w:val="none"/>
        </w:rPr>
        <w:t>10%的违约金。</w:t>
      </w:r>
    </w:p>
    <w:p w14:paraId="6BA9C91C">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在收到甲方签发的《停用通知书》之日起，3日内必须办理完毕拆除和退场，否则应当支付甲方场地占用费用。如在上述时间内乙方没有拆除和退场完毕，则设备自行交割为甲方所有，甲方有权自行处置该设备。</w:t>
      </w:r>
    </w:p>
    <w:p w14:paraId="72EB43EE">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5、因乙方提供的</w:t>
      </w:r>
      <w:r>
        <w:rPr>
          <w:rFonts w:hint="eastAsia" w:cs="Times New Roman"/>
          <w:sz w:val="21"/>
          <w:szCs w:val="21"/>
          <w:highlight w:val="none"/>
          <w:lang w:val="en-US" w:eastAsia="zh-CN"/>
        </w:rPr>
        <w:t>租赁物</w:t>
      </w:r>
      <w:r>
        <w:rPr>
          <w:rFonts w:hint="default" w:ascii="Times New Roman" w:hAnsi="Times New Roman" w:cs="Times New Roman"/>
          <w:sz w:val="21"/>
          <w:szCs w:val="21"/>
          <w:highlight w:val="none"/>
        </w:rPr>
        <w:t>数量、</w:t>
      </w:r>
      <w:r>
        <w:rPr>
          <w:rFonts w:hint="eastAsia" w:cs="Times New Roman"/>
          <w:sz w:val="21"/>
          <w:szCs w:val="21"/>
          <w:highlight w:val="none"/>
          <w:lang w:val="en-US" w:eastAsia="zh-CN"/>
        </w:rPr>
        <w:t>租赁物</w:t>
      </w:r>
      <w:r>
        <w:rPr>
          <w:rFonts w:hint="default" w:ascii="Times New Roman" w:hAnsi="Times New Roman" w:cs="Times New Roman"/>
          <w:sz w:val="21"/>
          <w:szCs w:val="21"/>
          <w:highlight w:val="none"/>
        </w:rPr>
        <w:t>性能不能满足甲方的施工生产需求，且在甲方通知后次日不能按甲方要求调整，支付甲方违约金10000元/次。且甲方有权利无条件解除合同。</w:t>
      </w:r>
    </w:p>
    <w:p w14:paraId="450B5F9C">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6、乙方不积极配合或拒绝甲方的加班要求，支付违约金1000元/次。如发生三次以上，甲方有权无条件解除合同。</w:t>
      </w:r>
    </w:p>
    <w:p w14:paraId="7382871E">
      <w:pPr>
        <w:keepNext w:val="0"/>
        <w:keepLines w:val="0"/>
        <w:pageBreakBefore w:val="0"/>
        <w:kinsoku/>
        <w:wordWrap/>
        <w:overflowPunct/>
        <w:topLinePunct w:val="0"/>
        <w:bidi w:val="0"/>
        <w:spacing w:line="36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乙方机驾人员不服从甲方管理制度、遵守甲方生产安排，或甲方认为机驾人员操作水平不足以满足甲方的生产要求时，甲方要求乙方五日内必须更换机加驾人员而未得到响应时，乙方支付违约金5000元/次。且甲方有权利无条件解除合同。</w:t>
      </w:r>
    </w:p>
    <w:p w14:paraId="19D8D8F0">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8、乙方不提供或未能提供真实有效合格的增值税专用发票给甲方时，或提供的发票经验证已失效、不规范、不合法或涉嫌虚开发票引起税务问题时，或经验证合格后又作废的视为乙方违约。乙方除需提供税率为</w:t>
      </w:r>
      <w:r>
        <w:rPr>
          <w:rFonts w:hint="default" w:ascii="Times New Roman" w:hAnsi="Times New Roman" w:cs="Times New Roman"/>
          <w:szCs w:val="21"/>
          <w:highlight w:val="none"/>
          <w:lang w:val="en-US" w:eastAsia="zh-CN"/>
        </w:rPr>
        <w:t>9</w:t>
      </w:r>
      <w:r>
        <w:rPr>
          <w:rFonts w:hint="default" w:ascii="Times New Roman" w:hAnsi="Times New Roman" w:cs="Times New Roman"/>
          <w:szCs w:val="21"/>
          <w:highlight w:val="none"/>
        </w:rPr>
        <w:t>%的增值税专票外，还需向甲方赔偿已付款总额5%的违约金，并向甲方承担赔偿责任，包括但不限于税款、滞纳金、罚款及相关损失等。</w:t>
      </w:r>
    </w:p>
    <w:p w14:paraId="358B7234">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9</w:t>
      </w:r>
      <w:r>
        <w:rPr>
          <w:rFonts w:hint="default" w:ascii="Times New Roman" w:hAnsi="Times New Roman" w:cs="Times New Roman"/>
          <w:szCs w:val="21"/>
          <w:highlight w:val="none"/>
        </w:rPr>
        <w:t>、乙方逾期交货的，每日按逾期合同款的千分之三向甲方支付违约金。逾期30天以上仍未完成交货的，乙方须向甲方支付合同总价款5%的违约金，同时，甲方保留解除本合同的权利。</w:t>
      </w:r>
    </w:p>
    <w:p w14:paraId="58CF21C8">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10</w:t>
      </w:r>
      <w:r>
        <w:rPr>
          <w:rFonts w:hint="default" w:ascii="Times New Roman" w:hAnsi="Times New Roman" w:cs="Times New Roman"/>
          <w:szCs w:val="21"/>
          <w:highlight w:val="none"/>
        </w:rPr>
        <w:t>、因货物质量问题给甲方带来损失的，乙方对甲方损失负有全部赔偿责任。</w:t>
      </w:r>
    </w:p>
    <w:p w14:paraId="0DABAE36">
      <w:pPr>
        <w:spacing w:before="156" w:beforeLines="50" w:after="156" w:afterLines="50" w:line="360" w:lineRule="auto"/>
        <w:ind w:firstLine="422"/>
        <w:outlineLvl w:val="1"/>
        <w:rPr>
          <w:rFonts w:hint="default" w:ascii="Times New Roman" w:hAnsi="Times New Roman" w:cs="Times New Roman"/>
          <w:b/>
          <w:szCs w:val="21"/>
          <w:highlight w:val="none"/>
        </w:rPr>
      </w:pPr>
      <w:bookmarkStart w:id="199" w:name="_Toc25576"/>
      <w:bookmarkStart w:id="200" w:name="_Toc28790"/>
      <w:r>
        <w:rPr>
          <w:rFonts w:hint="default" w:ascii="Times New Roman" w:hAnsi="Times New Roman" w:cs="Times New Roman"/>
          <w:b/>
          <w:szCs w:val="21"/>
          <w:highlight w:val="none"/>
        </w:rPr>
        <w:t>第九条  履约保证金</w:t>
      </w:r>
      <w:bookmarkEnd w:id="199"/>
      <w:bookmarkEnd w:id="200"/>
    </w:p>
    <w:p w14:paraId="706161E7">
      <w:pPr>
        <w:spacing w:line="360" w:lineRule="auto"/>
        <w:ind w:firstLine="422"/>
        <w:outlineLvl w:val="1"/>
        <w:rPr>
          <w:rFonts w:hint="default" w:ascii="Times New Roman" w:hAnsi="Times New Roman" w:cs="Times New Roman"/>
          <w:szCs w:val="21"/>
          <w:highlight w:val="none"/>
        </w:rPr>
      </w:pPr>
      <w:bookmarkStart w:id="201" w:name="_Toc20301"/>
      <w:bookmarkStart w:id="202" w:name="_Toc30936"/>
      <w:r>
        <w:rPr>
          <w:rFonts w:hint="default" w:ascii="Times New Roman" w:hAnsi="Times New Roman" w:cs="Times New Roman"/>
          <w:szCs w:val="21"/>
          <w:highlight w:val="none"/>
        </w:rPr>
        <w:t>1、乙方向甲方提供履约担保，担保方式：现金或银行保函（无条件）。</w:t>
      </w:r>
    </w:p>
    <w:p w14:paraId="619EE73B">
      <w:pPr>
        <w:spacing w:line="360" w:lineRule="auto"/>
        <w:ind w:firstLine="422"/>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2、履约保证金：乙方应在成交结果通知书发出之日起30日内，合同签订前向</w:t>
      </w:r>
      <w:r>
        <w:rPr>
          <w:rFonts w:hint="eastAsia" w:ascii="Times New Roman" w:hAnsi="Times New Roman" w:cs="Times New Roman"/>
          <w:b/>
          <w:bCs/>
          <w:szCs w:val="21"/>
          <w:highlight w:val="none"/>
          <w:lang w:eastAsia="zh-CN"/>
        </w:rPr>
        <w:t>甲方</w:t>
      </w:r>
      <w:r>
        <w:rPr>
          <w:rFonts w:hint="default" w:ascii="Times New Roman" w:hAnsi="Times New Roman" w:cs="Times New Roman"/>
          <w:b/>
          <w:bCs/>
          <w:szCs w:val="21"/>
          <w:highlight w:val="none"/>
        </w:rPr>
        <w:t>提交</w:t>
      </w:r>
      <w:r>
        <w:rPr>
          <w:rFonts w:hint="eastAsia" w:cs="Times New Roman"/>
          <w:b/>
          <w:bCs/>
          <w:szCs w:val="21"/>
          <w:highlight w:val="none"/>
          <w:lang w:val="en-US" w:eastAsia="zh-CN"/>
        </w:rPr>
        <w:t>10000.00</w:t>
      </w:r>
      <w:r>
        <w:rPr>
          <w:rFonts w:hint="default" w:ascii="Times New Roman" w:hAnsi="Times New Roman" w:cs="Times New Roman"/>
          <w:b/>
          <w:bCs/>
          <w:szCs w:val="21"/>
          <w:highlight w:val="none"/>
        </w:rPr>
        <w:t>元的履约保证金，未按规定提交履约保证金的，视为供应商放弃中标项目。履约保证金待全部供货结束后无息退还。</w:t>
      </w:r>
    </w:p>
    <w:p w14:paraId="3D9BA635">
      <w:pPr>
        <w:spacing w:line="360" w:lineRule="auto"/>
        <w:ind w:firstLine="422"/>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3、本次招标执行苏建规字〔2020〕6号文，</w:t>
      </w:r>
      <w:r>
        <w:rPr>
          <w:rFonts w:hint="eastAsia" w:ascii="Times New Roman" w:hAnsi="Times New Roman" w:cs="Times New Roman"/>
          <w:szCs w:val="21"/>
          <w:highlight w:val="none"/>
          <w:lang w:eastAsia="zh-CN"/>
        </w:rPr>
        <w:t>甲方</w:t>
      </w:r>
      <w:r>
        <w:rPr>
          <w:rFonts w:hint="default" w:ascii="Times New Roman" w:hAnsi="Times New Roman" w:cs="Times New Roman"/>
          <w:szCs w:val="21"/>
          <w:highlight w:val="none"/>
        </w:rPr>
        <w:t>根据项目情况有权要求成交供应商在领取中标通知书后30日内，合同签订前向</w:t>
      </w:r>
      <w:r>
        <w:rPr>
          <w:rFonts w:hint="eastAsia" w:ascii="Times New Roman" w:hAnsi="Times New Roman" w:cs="Times New Roman"/>
          <w:szCs w:val="21"/>
          <w:highlight w:val="none"/>
          <w:lang w:eastAsia="zh-CN"/>
        </w:rPr>
        <w:t>甲方</w:t>
      </w:r>
      <w:r>
        <w:rPr>
          <w:rFonts w:hint="default" w:ascii="Times New Roman" w:hAnsi="Times New Roman" w:cs="Times New Roman"/>
          <w:szCs w:val="21"/>
          <w:highlight w:val="none"/>
        </w:rPr>
        <w:t>提交履约保证金。</w:t>
      </w:r>
    </w:p>
    <w:p w14:paraId="0E66C7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第十条  争议的解决</w:t>
      </w:r>
      <w:bookmarkEnd w:id="201"/>
      <w:bookmarkEnd w:id="202"/>
    </w:p>
    <w:p w14:paraId="6528BDB3">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1、本合同项下发生的争议，由双方协商解决，协商不成，向</w:t>
      </w:r>
      <w:r>
        <w:rPr>
          <w:rFonts w:hint="eastAsia" w:ascii="Times New Roman" w:hAnsi="Times New Roman" w:cs="Times New Roman"/>
          <w:szCs w:val="21"/>
          <w:highlight w:val="none"/>
          <w:lang w:val="en-US" w:eastAsia="zh-CN"/>
        </w:rPr>
        <w:t>项目所在地</w:t>
      </w:r>
      <w:r>
        <w:rPr>
          <w:rFonts w:hint="default" w:ascii="Times New Roman" w:hAnsi="Times New Roman" w:cs="Times New Roman"/>
          <w:szCs w:val="21"/>
          <w:highlight w:val="none"/>
        </w:rPr>
        <w:t>人民法院提起诉讼。</w:t>
      </w:r>
    </w:p>
    <w:p w14:paraId="244B9CB5">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2、如发生乙方违约或因乙方责任造成的第三方就乙方在履行本合同中主张权益所发生的诉讼纠纷，一切费用由乙方承担（包括但不限于：损失赔偿、差旅费、诉讼费、鉴定费、执行费、律师费等）。</w:t>
      </w:r>
    </w:p>
    <w:p w14:paraId="5C4161B6">
      <w:pPr>
        <w:spacing w:line="360" w:lineRule="auto"/>
        <w:ind w:firstLine="420"/>
        <w:rPr>
          <w:rFonts w:hint="default" w:ascii="Times New Roman" w:hAnsi="Times New Roman" w:cs="Times New Roman"/>
          <w:b/>
          <w:bCs/>
          <w:szCs w:val="21"/>
          <w:highlight w:val="none"/>
        </w:rPr>
      </w:pPr>
      <w:r>
        <w:rPr>
          <w:rFonts w:hint="default" w:ascii="Times New Roman" w:hAnsi="Times New Roman" w:cs="Times New Roman"/>
          <w:szCs w:val="21"/>
          <w:highlight w:val="none"/>
        </w:rPr>
        <w:t>3、甲乙双方均以本合同记载的联系方式、地址作为将来可能产生的诉讼时法律文书的送达地址（包括拒收或无人接收），如有变更，需提前三日书面告知对方，否则承担不利的法律后果。</w:t>
      </w:r>
      <w:bookmarkStart w:id="203" w:name="_Toc1732"/>
      <w:bookmarkStart w:id="204" w:name="_Toc8308"/>
    </w:p>
    <w:p w14:paraId="45DE4F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textAlignment w:val="auto"/>
        <w:outlineLvl w:val="1"/>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第十一条  其它事项</w:t>
      </w:r>
      <w:bookmarkEnd w:id="203"/>
      <w:bookmarkEnd w:id="204"/>
    </w:p>
    <w:p w14:paraId="7CA6840D">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1、本合同一式</w:t>
      </w:r>
      <w:r>
        <w:rPr>
          <w:rFonts w:hint="eastAsia" w:cs="Times New Roman"/>
          <w:szCs w:val="21"/>
          <w:highlight w:val="none"/>
          <w:lang w:val="en-US" w:eastAsia="zh-CN"/>
        </w:rPr>
        <w:t>壹拾</w:t>
      </w:r>
      <w:r>
        <w:rPr>
          <w:rFonts w:hint="default" w:ascii="Times New Roman" w:hAnsi="Times New Roman" w:cs="Times New Roman"/>
          <w:szCs w:val="21"/>
          <w:highlight w:val="none"/>
        </w:rPr>
        <w:t>份，甲方</w:t>
      </w:r>
      <w:r>
        <w:rPr>
          <w:rFonts w:hint="eastAsia" w:cs="Times New Roman"/>
          <w:szCs w:val="21"/>
          <w:highlight w:val="none"/>
          <w:lang w:val="en-US" w:eastAsia="zh-CN"/>
        </w:rPr>
        <w:t>陆</w:t>
      </w:r>
      <w:r>
        <w:rPr>
          <w:rFonts w:hint="default" w:ascii="Times New Roman" w:hAnsi="Times New Roman" w:cs="Times New Roman"/>
          <w:szCs w:val="21"/>
          <w:highlight w:val="none"/>
        </w:rPr>
        <w:t>份、乙方执</w:t>
      </w:r>
      <w:r>
        <w:rPr>
          <w:rFonts w:hint="eastAsia" w:cs="Times New Roman"/>
          <w:szCs w:val="21"/>
          <w:highlight w:val="none"/>
          <w:u w:val="none"/>
          <w:lang w:val="en-US" w:eastAsia="zh-CN"/>
        </w:rPr>
        <w:t>肆</w:t>
      </w:r>
      <w:r>
        <w:rPr>
          <w:rFonts w:hint="default" w:ascii="Times New Roman" w:hAnsi="Times New Roman" w:cs="Times New Roman"/>
          <w:szCs w:val="21"/>
          <w:highlight w:val="none"/>
        </w:rPr>
        <w:t>份。合同双方签字盖章后生效。</w:t>
      </w:r>
    </w:p>
    <w:p w14:paraId="1F265247">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2、甲、乙双方经过协商的补充规定与本合同具有同等法律效力。</w:t>
      </w:r>
    </w:p>
    <w:p w14:paraId="142A3915">
      <w:pPr>
        <w:spacing w:line="360" w:lineRule="auto"/>
        <w:ind w:firstLine="420"/>
        <w:rPr>
          <w:rFonts w:hint="default"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（以下无正文）</w:t>
      </w:r>
    </w:p>
    <w:p w14:paraId="48F79DEF">
      <w:pPr>
        <w:pStyle w:val="18"/>
        <w:rPr>
          <w:rFonts w:hint="default"/>
          <w:highlight w:val="none"/>
        </w:rPr>
      </w:pPr>
    </w:p>
    <w:p w14:paraId="3C9CE8E4">
      <w:pPr>
        <w:spacing w:line="360" w:lineRule="auto"/>
        <w:ind w:firstLine="420"/>
        <w:rPr>
          <w:rFonts w:hint="default" w:ascii="Times New Roman" w:hAnsi="Times New Roman" w:cs="Times New Roman"/>
          <w:bCs/>
          <w:szCs w:val="21"/>
          <w:highlight w:val="none"/>
        </w:rPr>
      </w:pPr>
      <w:r>
        <w:rPr>
          <w:rFonts w:hint="eastAsia" w:cs="Times New Roman"/>
          <w:bCs/>
          <w:szCs w:val="21"/>
          <w:highlight w:val="none"/>
          <w:lang w:val="en-US" w:eastAsia="zh-CN"/>
        </w:rPr>
        <w:t>甲方</w:t>
      </w:r>
      <w:r>
        <w:rPr>
          <w:rFonts w:hint="default" w:ascii="Times New Roman" w:hAnsi="Times New Roman" w:cs="Times New Roman"/>
          <w:bCs/>
          <w:szCs w:val="21"/>
          <w:highlight w:val="none"/>
        </w:rPr>
        <w:t xml:space="preserve">：(盖章)                     </w:t>
      </w:r>
      <w:r>
        <w:rPr>
          <w:rFonts w:hint="eastAsia" w:cs="Times New Roman"/>
          <w:bCs/>
          <w:szCs w:val="21"/>
          <w:highlight w:val="none"/>
          <w:lang w:val="en-US" w:eastAsia="zh-CN"/>
        </w:rPr>
        <w:t xml:space="preserve">             乙方</w:t>
      </w:r>
      <w:r>
        <w:rPr>
          <w:rFonts w:hint="default" w:ascii="Times New Roman" w:hAnsi="Times New Roman" w:cs="Times New Roman"/>
          <w:bCs/>
          <w:szCs w:val="21"/>
          <w:highlight w:val="none"/>
        </w:rPr>
        <w:t xml:space="preserve">：(盖章)                                 </w:t>
      </w:r>
    </w:p>
    <w:p w14:paraId="700DD418">
      <w:pPr>
        <w:spacing w:line="360" w:lineRule="auto"/>
        <w:ind w:firstLine="420"/>
        <w:rPr>
          <w:rFonts w:hint="default" w:ascii="Times New Roman" w:hAnsi="Times New Roman" w:cs="Times New Roman"/>
          <w:bCs/>
          <w:szCs w:val="21"/>
          <w:highlight w:val="none"/>
        </w:rPr>
      </w:pPr>
      <w:r>
        <w:rPr>
          <w:rFonts w:hint="default" w:ascii="Times New Roman" w:hAnsi="Times New Roman" w:cs="Times New Roman"/>
          <w:bCs/>
          <w:szCs w:val="21"/>
          <w:highlight w:val="none"/>
        </w:rPr>
        <w:t xml:space="preserve">法定代表人或委托代理人：              </w:t>
      </w:r>
      <w:r>
        <w:rPr>
          <w:rFonts w:hint="eastAsia" w:cs="Times New Roman"/>
          <w:bCs/>
          <w:szCs w:val="21"/>
          <w:highlight w:val="none"/>
          <w:lang w:val="en-US" w:eastAsia="zh-CN"/>
        </w:rPr>
        <w:t xml:space="preserve">     </w:t>
      </w:r>
      <w:r>
        <w:rPr>
          <w:rFonts w:hint="default" w:ascii="Times New Roman" w:hAnsi="Times New Roman" w:cs="Times New Roman"/>
          <w:bCs/>
          <w:szCs w:val="21"/>
          <w:highlight w:val="none"/>
        </w:rPr>
        <w:t xml:space="preserve"> 法定代表人或委托代理人：</w:t>
      </w:r>
    </w:p>
    <w:p w14:paraId="595D7776">
      <w:pPr>
        <w:spacing w:line="360" w:lineRule="auto"/>
        <w:ind w:firstLine="420"/>
        <w:rPr>
          <w:rFonts w:hint="default" w:ascii="Times New Roman" w:hAnsi="Times New Roman" w:cs="Times New Roman"/>
          <w:bCs/>
          <w:szCs w:val="21"/>
          <w:highlight w:val="none"/>
        </w:rPr>
      </w:pPr>
      <w:r>
        <w:rPr>
          <w:rFonts w:hint="default" w:ascii="Times New Roman" w:hAnsi="Times New Roman" w:cs="Times New Roman"/>
          <w:bCs/>
          <w:szCs w:val="21"/>
          <w:highlight w:val="none"/>
        </w:rPr>
        <w:t xml:space="preserve">（盖章或签字）                         </w:t>
      </w:r>
      <w:r>
        <w:rPr>
          <w:rFonts w:hint="eastAsia" w:cs="Times New Roman"/>
          <w:bCs/>
          <w:szCs w:val="21"/>
          <w:highlight w:val="none"/>
          <w:lang w:val="en-US" w:eastAsia="zh-CN"/>
        </w:rPr>
        <w:t xml:space="preserve">   </w:t>
      </w:r>
      <w:r>
        <w:rPr>
          <w:rFonts w:hint="default" w:ascii="Times New Roman" w:hAnsi="Times New Roman" w:cs="Times New Roman"/>
          <w:bCs/>
          <w:szCs w:val="21"/>
          <w:highlight w:val="none"/>
        </w:rPr>
        <w:t xml:space="preserve"> （盖章或签字）                        </w:t>
      </w:r>
    </w:p>
    <w:p w14:paraId="13D3296F">
      <w:pPr>
        <w:spacing w:line="360" w:lineRule="auto"/>
        <w:ind w:firstLine="420"/>
        <w:rPr>
          <w:rFonts w:hint="default" w:ascii="Times New Roman" w:hAnsi="Times New Roman" w:cs="Times New Roman"/>
          <w:bCs/>
          <w:szCs w:val="21"/>
          <w:highlight w:val="none"/>
        </w:rPr>
      </w:pPr>
      <w:r>
        <w:rPr>
          <w:rFonts w:hint="default" w:ascii="Times New Roman" w:hAnsi="Times New Roman" w:cs="Times New Roman"/>
          <w:bCs/>
          <w:szCs w:val="21"/>
          <w:highlight w:val="none"/>
        </w:rPr>
        <w:t>项目负责人：</w:t>
      </w:r>
    </w:p>
    <w:tbl>
      <w:tblPr>
        <w:tblStyle w:val="48"/>
        <w:tblW w:w="9099" w:type="dxa"/>
        <w:tblInd w:w="0" w:type="dxa"/>
        <w:tblLayout w:type="autofit"/>
        <w:tblCellMar>
          <w:top w:w="0" w:type="dxa"/>
          <w:left w:w="108" w:type="dxa"/>
          <w:bottom w:w="0" w:type="dxa"/>
          <w:right w:w="108" w:type="dxa"/>
        </w:tblCellMar>
      </w:tblPr>
      <w:tblGrid>
        <w:gridCol w:w="4663"/>
        <w:gridCol w:w="4436"/>
      </w:tblGrid>
      <w:tr w14:paraId="4BE0928F">
        <w:tblPrEx>
          <w:tblCellMar>
            <w:top w:w="0" w:type="dxa"/>
            <w:left w:w="108" w:type="dxa"/>
            <w:bottom w:w="0" w:type="dxa"/>
            <w:right w:w="108" w:type="dxa"/>
          </w:tblCellMar>
        </w:tblPrEx>
        <w:trPr>
          <w:trHeight w:val="565" w:hRule="atLeast"/>
        </w:trPr>
        <w:tc>
          <w:tcPr>
            <w:tcW w:w="4663" w:type="dxa"/>
            <w:vAlign w:val="center"/>
          </w:tcPr>
          <w:p w14:paraId="368318B4">
            <w:pPr>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统一社会信用代码：</w:t>
            </w:r>
            <w:r>
              <w:rPr>
                <w:rFonts w:hint="default" w:ascii="Times New Roman" w:hAnsi="Times New Roman" w:cs="Times New Roman"/>
                <w:bCs/>
                <w:szCs w:val="21"/>
                <w:highlight w:val="none"/>
                <w:u w:val="single"/>
              </w:rPr>
              <w:t>91320703MA236AGX5M</w:t>
            </w:r>
          </w:p>
        </w:tc>
        <w:tc>
          <w:tcPr>
            <w:tcW w:w="4436" w:type="dxa"/>
            <w:vAlign w:val="center"/>
          </w:tcPr>
          <w:p w14:paraId="1B208BC1">
            <w:pPr>
              <w:spacing w:line="480" w:lineRule="auto"/>
              <w:ind w:firstLine="0" w:firstLineChars="0"/>
              <w:rPr>
                <w:rFonts w:hint="default" w:ascii="Times New Roman" w:hAnsi="Times New Roman" w:cs="Times New Roman"/>
                <w:bCs/>
                <w:szCs w:val="21"/>
                <w:highlight w:val="none"/>
              </w:rPr>
            </w:pPr>
            <w:r>
              <w:rPr>
                <w:bCs/>
                <w:szCs w:val="21"/>
                <w:highlight w:val="none"/>
              </w:rPr>
              <w:t>统一社会信用代码：</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bCs/>
                <w:szCs w:val="21"/>
                <w:highlight w:val="none"/>
                <w:u w:val="single"/>
              </w:rPr>
              <w:t xml:space="preserve">   </w:t>
            </w:r>
          </w:p>
        </w:tc>
      </w:tr>
      <w:tr w14:paraId="77896420">
        <w:tblPrEx>
          <w:tblCellMar>
            <w:top w:w="0" w:type="dxa"/>
            <w:left w:w="108" w:type="dxa"/>
            <w:bottom w:w="0" w:type="dxa"/>
            <w:right w:w="108" w:type="dxa"/>
          </w:tblCellMar>
        </w:tblPrEx>
        <w:trPr>
          <w:trHeight w:val="931" w:hRule="atLeast"/>
        </w:trPr>
        <w:tc>
          <w:tcPr>
            <w:tcW w:w="4663" w:type="dxa"/>
            <w:vAlign w:val="center"/>
          </w:tcPr>
          <w:p w14:paraId="5AE8AB63">
            <w:pPr>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地  址：</w:t>
            </w:r>
            <w:r>
              <w:rPr>
                <w:rFonts w:hint="default" w:ascii="Times New Roman" w:hAnsi="Times New Roman" w:cs="Times New Roman"/>
                <w:bCs/>
                <w:szCs w:val="21"/>
                <w:highlight w:val="none"/>
                <w:u w:val="single"/>
              </w:rPr>
              <w:t>连云港市徐圩新区应急救援指挥中心F楼</w:t>
            </w:r>
          </w:p>
        </w:tc>
        <w:tc>
          <w:tcPr>
            <w:tcW w:w="4436" w:type="dxa"/>
            <w:vAlign w:val="center"/>
          </w:tcPr>
          <w:p w14:paraId="652A6E82">
            <w:pPr>
              <w:spacing w:line="480" w:lineRule="auto"/>
              <w:ind w:firstLine="0" w:firstLineChars="0"/>
              <w:rPr>
                <w:rFonts w:hint="default" w:ascii="Times New Roman" w:hAnsi="Times New Roman" w:eastAsia="宋体" w:cs="Times New Roman"/>
                <w:bCs/>
                <w:szCs w:val="21"/>
                <w:highlight w:val="none"/>
                <w:lang w:val="en-US" w:eastAsia="zh-CN"/>
              </w:rPr>
            </w:pPr>
            <w:r>
              <w:rPr>
                <w:bCs/>
                <w:szCs w:val="21"/>
                <w:highlight w:val="none"/>
              </w:rPr>
              <w:t>地  址</w:t>
            </w:r>
            <w:r>
              <w:rPr>
                <w:rFonts w:hint="eastAsia"/>
                <w:bCs/>
                <w:szCs w:val="21"/>
                <w:highlight w:val="none"/>
              </w:rPr>
              <w:t>：</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tc>
      </w:tr>
      <w:tr w14:paraId="07BCD520">
        <w:tblPrEx>
          <w:tblCellMar>
            <w:top w:w="0" w:type="dxa"/>
            <w:left w:w="108" w:type="dxa"/>
            <w:bottom w:w="0" w:type="dxa"/>
            <w:right w:w="108" w:type="dxa"/>
          </w:tblCellMar>
        </w:tblPrEx>
        <w:trPr>
          <w:trHeight w:val="565" w:hRule="atLeast"/>
        </w:trPr>
        <w:tc>
          <w:tcPr>
            <w:tcW w:w="4663" w:type="dxa"/>
            <w:vAlign w:val="center"/>
          </w:tcPr>
          <w:p w14:paraId="74DC7333">
            <w:pPr>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邮政编码：</w:t>
            </w:r>
            <w:r>
              <w:rPr>
                <w:rFonts w:hint="default" w:ascii="Times New Roman" w:hAnsi="Times New Roman" w:cs="Times New Roman"/>
                <w:bCs/>
                <w:szCs w:val="21"/>
                <w:highlight w:val="none"/>
                <w:u w:val="single"/>
              </w:rPr>
              <w:t xml:space="preserve">          222000         </w:t>
            </w:r>
          </w:p>
        </w:tc>
        <w:tc>
          <w:tcPr>
            <w:tcW w:w="4436" w:type="dxa"/>
            <w:vAlign w:val="center"/>
          </w:tcPr>
          <w:p w14:paraId="72537196">
            <w:pPr>
              <w:spacing w:line="480" w:lineRule="auto"/>
              <w:ind w:firstLine="0" w:firstLineChars="0"/>
              <w:rPr>
                <w:rFonts w:hint="default" w:ascii="Times New Roman" w:hAnsi="Times New Roman" w:cs="Times New Roman"/>
                <w:bCs/>
                <w:szCs w:val="21"/>
                <w:highlight w:val="none"/>
              </w:rPr>
            </w:pPr>
            <w:r>
              <w:rPr>
                <w:bCs/>
                <w:szCs w:val="21"/>
                <w:highlight w:val="none"/>
              </w:rPr>
              <w:t>邮政编码：</w:t>
            </w:r>
            <w:r>
              <w:rPr>
                <w:bCs/>
                <w:szCs w:val="21"/>
                <w:highlight w:val="none"/>
                <w:u w:val="single"/>
              </w:rPr>
              <w:t xml:space="preserve">         </w:t>
            </w:r>
            <w:r>
              <w:rPr>
                <w:rFonts w:hint="eastAsia"/>
                <w:bCs/>
                <w:szCs w:val="21"/>
                <w:highlight w:val="none"/>
                <w:u w:val="single"/>
                <w:lang w:val="en-US" w:eastAsia="zh-CN"/>
              </w:rPr>
              <w:t xml:space="preserve">         </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p>
        </w:tc>
      </w:tr>
      <w:tr w14:paraId="5142930B">
        <w:tblPrEx>
          <w:tblCellMar>
            <w:top w:w="0" w:type="dxa"/>
            <w:left w:w="108" w:type="dxa"/>
            <w:bottom w:w="0" w:type="dxa"/>
            <w:right w:w="108" w:type="dxa"/>
          </w:tblCellMar>
        </w:tblPrEx>
        <w:trPr>
          <w:trHeight w:val="610" w:hRule="atLeast"/>
        </w:trPr>
        <w:tc>
          <w:tcPr>
            <w:tcW w:w="4663" w:type="dxa"/>
            <w:vAlign w:val="center"/>
          </w:tcPr>
          <w:p w14:paraId="390DC0ED">
            <w:pPr>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法定代表人：</w:t>
            </w:r>
            <w:r>
              <w:rPr>
                <w:rFonts w:hint="default" w:ascii="Times New Roman" w:hAnsi="Times New Roman" w:cs="Times New Roman"/>
                <w:bCs/>
                <w:szCs w:val="21"/>
                <w:highlight w:val="none"/>
                <w:u w:val="single"/>
              </w:rPr>
              <w:t xml:space="preserve">        </w:t>
            </w:r>
            <w:r>
              <w:rPr>
                <w:rFonts w:hint="default" w:ascii="Times New Roman" w:hAnsi="Times New Roman" w:cs="Times New Roman"/>
                <w:bCs/>
                <w:color w:val="000000"/>
                <w:szCs w:val="21"/>
                <w:highlight w:val="none"/>
                <w:u w:val="single"/>
              </w:rPr>
              <w:t>朱祖杰</w:t>
            </w:r>
            <w:r>
              <w:rPr>
                <w:rFonts w:hint="default" w:ascii="Times New Roman" w:hAnsi="Times New Roman" w:cs="Times New Roman"/>
                <w:bCs/>
                <w:szCs w:val="21"/>
                <w:highlight w:val="none"/>
                <w:u w:val="single"/>
              </w:rPr>
              <w:t xml:space="preserve">         </w:t>
            </w:r>
          </w:p>
        </w:tc>
        <w:tc>
          <w:tcPr>
            <w:tcW w:w="4436" w:type="dxa"/>
            <w:vAlign w:val="center"/>
          </w:tcPr>
          <w:p w14:paraId="6E89D926">
            <w:pPr>
              <w:spacing w:line="480" w:lineRule="auto"/>
              <w:ind w:firstLine="0" w:firstLineChars="0"/>
              <w:rPr>
                <w:rFonts w:hint="default" w:ascii="Times New Roman" w:hAnsi="Times New Roman" w:cs="Times New Roman"/>
                <w:bCs/>
                <w:szCs w:val="21"/>
                <w:highlight w:val="none"/>
              </w:rPr>
            </w:pPr>
            <w:r>
              <w:rPr>
                <w:bCs/>
                <w:szCs w:val="21"/>
                <w:highlight w:val="none"/>
              </w:rPr>
              <w:t>法定代表人：</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r>
              <w:rPr>
                <w:rFonts w:hint="eastAsia"/>
                <w:bCs/>
                <w:szCs w:val="21"/>
                <w:highlight w:val="none"/>
                <w:u w:val="single"/>
                <w:lang w:val="en-US" w:eastAsia="zh-CN"/>
              </w:rPr>
              <w:t xml:space="preserve">          </w:t>
            </w:r>
            <w:r>
              <w:rPr>
                <w:bCs/>
                <w:szCs w:val="21"/>
                <w:highlight w:val="none"/>
                <w:u w:val="single"/>
              </w:rPr>
              <w:t xml:space="preserve">              </w:t>
            </w:r>
          </w:p>
        </w:tc>
      </w:tr>
      <w:tr w14:paraId="2E720A36">
        <w:tblPrEx>
          <w:tblCellMar>
            <w:top w:w="0" w:type="dxa"/>
            <w:left w:w="108" w:type="dxa"/>
            <w:bottom w:w="0" w:type="dxa"/>
            <w:right w:w="108" w:type="dxa"/>
          </w:tblCellMar>
        </w:tblPrEx>
        <w:trPr>
          <w:trHeight w:val="565" w:hRule="atLeast"/>
        </w:trPr>
        <w:tc>
          <w:tcPr>
            <w:tcW w:w="4663" w:type="dxa"/>
            <w:vAlign w:val="center"/>
          </w:tcPr>
          <w:p w14:paraId="60AB1154">
            <w:pPr>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电  话：</w:t>
            </w:r>
            <w:r>
              <w:rPr>
                <w:rFonts w:hint="default" w:ascii="Times New Roman" w:hAnsi="Times New Roman" w:cs="Times New Roman"/>
                <w:bCs/>
                <w:szCs w:val="21"/>
                <w:highlight w:val="none"/>
                <w:u w:val="single"/>
              </w:rPr>
              <w:t xml:space="preserve">       0518--80528018       </w:t>
            </w:r>
          </w:p>
        </w:tc>
        <w:tc>
          <w:tcPr>
            <w:tcW w:w="4436" w:type="dxa"/>
            <w:vAlign w:val="center"/>
          </w:tcPr>
          <w:p w14:paraId="40CC5867">
            <w:pPr>
              <w:spacing w:line="480" w:lineRule="auto"/>
              <w:ind w:firstLine="0" w:firstLineChars="0"/>
              <w:rPr>
                <w:rFonts w:hint="default" w:ascii="Times New Roman" w:hAnsi="Times New Roman" w:cs="Times New Roman"/>
                <w:bCs/>
                <w:szCs w:val="21"/>
                <w:highlight w:val="none"/>
              </w:rPr>
            </w:pPr>
            <w:r>
              <w:rPr>
                <w:bCs/>
                <w:szCs w:val="21"/>
                <w:highlight w:val="none"/>
              </w:rPr>
              <w:t>电  话：</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r>
              <w:rPr>
                <w:rFonts w:hint="eastAsia"/>
                <w:bCs/>
                <w:szCs w:val="21"/>
                <w:highlight w:val="none"/>
                <w:u w:val="single"/>
              </w:rPr>
              <w:t xml:space="preserve"> </w:t>
            </w:r>
            <w:r>
              <w:rPr>
                <w:rFonts w:hint="eastAsia"/>
                <w:bCs/>
                <w:szCs w:val="21"/>
                <w:highlight w:val="none"/>
                <w:u w:val="single"/>
                <w:lang w:val="en-US" w:eastAsia="zh-CN"/>
              </w:rPr>
              <w:t xml:space="preserve">              </w:t>
            </w:r>
            <w:r>
              <w:rPr>
                <w:rFonts w:hint="eastAsia"/>
                <w:bCs/>
                <w:szCs w:val="21"/>
                <w:highlight w:val="none"/>
                <w:u w:val="single"/>
              </w:rPr>
              <w:t xml:space="preserve">  </w:t>
            </w:r>
            <w:r>
              <w:rPr>
                <w:bCs/>
                <w:szCs w:val="21"/>
                <w:highlight w:val="none"/>
                <w:u w:val="single"/>
              </w:rPr>
              <w:t xml:space="preserve">         </w:t>
            </w:r>
          </w:p>
        </w:tc>
      </w:tr>
      <w:tr w14:paraId="35349B69">
        <w:tblPrEx>
          <w:tblCellMar>
            <w:top w:w="0" w:type="dxa"/>
            <w:left w:w="108" w:type="dxa"/>
            <w:bottom w:w="0" w:type="dxa"/>
            <w:right w:w="108" w:type="dxa"/>
          </w:tblCellMar>
        </w:tblPrEx>
        <w:trPr>
          <w:trHeight w:val="565" w:hRule="atLeast"/>
        </w:trPr>
        <w:tc>
          <w:tcPr>
            <w:tcW w:w="4663" w:type="dxa"/>
            <w:vAlign w:val="center"/>
          </w:tcPr>
          <w:p w14:paraId="70C78C5B">
            <w:pPr>
              <w:snapToGrid w:val="0"/>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开户银行：</w:t>
            </w:r>
            <w:r>
              <w:rPr>
                <w:rFonts w:hint="default" w:ascii="Times New Roman" w:hAnsi="Times New Roman" w:cs="Times New Roman"/>
                <w:bCs/>
                <w:szCs w:val="21"/>
                <w:highlight w:val="none"/>
                <w:u w:val="single"/>
              </w:rPr>
              <w:t xml:space="preserve">中国建设银行连云港徐圩支行   </w:t>
            </w:r>
          </w:p>
        </w:tc>
        <w:tc>
          <w:tcPr>
            <w:tcW w:w="4436" w:type="dxa"/>
            <w:vAlign w:val="center"/>
          </w:tcPr>
          <w:p w14:paraId="5A968E0C">
            <w:pPr>
              <w:snapToGrid w:val="0"/>
              <w:spacing w:line="480" w:lineRule="auto"/>
              <w:ind w:firstLine="0" w:firstLineChars="0"/>
              <w:rPr>
                <w:rFonts w:hint="default" w:ascii="Times New Roman" w:hAnsi="Times New Roman" w:cs="Times New Roman"/>
                <w:bCs/>
                <w:szCs w:val="21"/>
                <w:highlight w:val="none"/>
              </w:rPr>
            </w:pPr>
            <w:r>
              <w:rPr>
                <w:bCs/>
                <w:szCs w:val="21"/>
                <w:highlight w:val="none"/>
              </w:rPr>
              <w:t>开户银行：</w:t>
            </w:r>
            <w:r>
              <w:rPr>
                <w:bCs/>
                <w:szCs w:val="21"/>
                <w:highlight w:val="none"/>
                <w:u w:val="single"/>
              </w:rPr>
              <w:t xml:space="preserve">    </w:t>
            </w:r>
            <w:r>
              <w:rPr>
                <w:rFonts w:hint="eastAsia"/>
                <w:bCs/>
                <w:szCs w:val="21"/>
                <w:highlight w:val="none"/>
                <w:u w:val="single"/>
                <w:lang w:val="en-US" w:eastAsia="zh-CN"/>
              </w:rPr>
              <w:t xml:space="preserve">                  </w:t>
            </w:r>
            <w:r>
              <w:rPr>
                <w:rFonts w:hint="eastAsia"/>
                <w:bCs/>
                <w:szCs w:val="21"/>
                <w:highlight w:val="none"/>
                <w:u w:val="single"/>
              </w:rPr>
              <w:t xml:space="preserve">    </w:t>
            </w:r>
            <w:r>
              <w:rPr>
                <w:bCs/>
                <w:szCs w:val="21"/>
                <w:highlight w:val="none"/>
                <w:u w:val="single"/>
              </w:rPr>
              <w:t xml:space="preserve">       </w:t>
            </w:r>
          </w:p>
        </w:tc>
      </w:tr>
      <w:tr w14:paraId="35BCE249">
        <w:tblPrEx>
          <w:tblCellMar>
            <w:top w:w="0" w:type="dxa"/>
            <w:left w:w="108" w:type="dxa"/>
            <w:bottom w:w="0" w:type="dxa"/>
            <w:right w:w="108" w:type="dxa"/>
          </w:tblCellMar>
        </w:tblPrEx>
        <w:trPr>
          <w:trHeight w:val="565" w:hRule="atLeast"/>
        </w:trPr>
        <w:tc>
          <w:tcPr>
            <w:tcW w:w="4663" w:type="dxa"/>
            <w:vAlign w:val="center"/>
          </w:tcPr>
          <w:p w14:paraId="50FC7A06">
            <w:pPr>
              <w:snapToGrid w:val="0"/>
              <w:spacing w:line="480" w:lineRule="auto"/>
              <w:ind w:firstLine="0" w:firstLineChars="0"/>
              <w:rPr>
                <w:rFonts w:hint="default" w:ascii="Times New Roman" w:hAnsi="Times New Roman" w:cs="Times New Roman"/>
                <w:bCs/>
                <w:szCs w:val="21"/>
                <w:highlight w:val="none"/>
              </w:rPr>
            </w:pPr>
            <w:r>
              <w:rPr>
                <w:rFonts w:hint="default" w:ascii="Times New Roman" w:hAnsi="Times New Roman" w:cs="Times New Roman"/>
                <w:bCs/>
                <w:szCs w:val="21"/>
                <w:highlight w:val="none"/>
              </w:rPr>
              <w:t>账  号：</w:t>
            </w:r>
            <w:r>
              <w:rPr>
                <w:rFonts w:hint="default" w:ascii="Times New Roman" w:hAnsi="Times New Roman" w:cs="Times New Roman"/>
                <w:bCs/>
                <w:szCs w:val="21"/>
                <w:highlight w:val="none"/>
                <w:u w:val="single"/>
              </w:rPr>
              <w:t xml:space="preserve">     32050110472800000576      </w:t>
            </w:r>
          </w:p>
        </w:tc>
        <w:tc>
          <w:tcPr>
            <w:tcW w:w="4436" w:type="dxa"/>
            <w:vAlign w:val="center"/>
          </w:tcPr>
          <w:p w14:paraId="15661161">
            <w:pPr>
              <w:snapToGrid w:val="0"/>
              <w:spacing w:line="480" w:lineRule="auto"/>
              <w:ind w:firstLine="0" w:firstLineChars="0"/>
              <w:rPr>
                <w:rFonts w:hint="default" w:ascii="Times New Roman" w:hAnsi="Times New Roman" w:cs="Times New Roman"/>
                <w:bCs/>
                <w:szCs w:val="21"/>
                <w:highlight w:val="none"/>
              </w:rPr>
            </w:pPr>
            <w:r>
              <w:rPr>
                <w:bCs/>
                <w:szCs w:val="21"/>
                <w:highlight w:val="none"/>
              </w:rPr>
              <w:t>账  号：</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r>
              <w:rPr>
                <w:rFonts w:hint="eastAsia"/>
                <w:bCs/>
                <w:szCs w:val="21"/>
                <w:highlight w:val="none"/>
                <w:u w:val="single"/>
                <w:lang w:val="en-US" w:eastAsia="zh-CN"/>
              </w:rPr>
              <w:t xml:space="preserve">              </w:t>
            </w:r>
            <w:r>
              <w:rPr>
                <w:rFonts w:hint="eastAsia"/>
                <w:bCs/>
                <w:szCs w:val="21"/>
                <w:highlight w:val="none"/>
                <w:u w:val="single"/>
              </w:rPr>
              <w:t xml:space="preserve">  </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p>
        </w:tc>
      </w:tr>
    </w:tbl>
    <w:p w14:paraId="2941A05A">
      <w:pPr>
        <w:spacing w:line="240" w:lineRule="auto"/>
        <w:ind w:left="0" w:leftChars="0" w:firstLine="0" w:firstLineChars="0"/>
        <w:rPr>
          <w:highlight w:val="none"/>
        </w:rPr>
      </w:pPr>
    </w:p>
    <w:p w14:paraId="62E519F8">
      <w:pPr>
        <w:ind w:firstLine="420"/>
        <w:rPr>
          <w:rFonts w:hAnsi="黑体"/>
          <w:color w:val="000000" w:themeColor="text1"/>
          <w:szCs w:val="36"/>
          <w:highlight w:val="none"/>
          <w14:textFill>
            <w14:solidFill>
              <w14:schemeClr w14:val="tx1"/>
            </w14:solidFill>
          </w14:textFill>
        </w:rPr>
      </w:pPr>
      <w:r>
        <w:rPr>
          <w:rFonts w:hAnsi="黑体"/>
          <w:color w:val="000000" w:themeColor="text1"/>
          <w:szCs w:val="36"/>
          <w:highlight w:val="none"/>
          <w14:textFill>
            <w14:solidFill>
              <w14:schemeClr w14:val="tx1"/>
            </w14:solidFill>
          </w14:textFill>
        </w:rPr>
        <w:br w:type="page"/>
      </w:r>
    </w:p>
    <w:p w14:paraId="78931989">
      <w:pPr>
        <w:pStyle w:val="47"/>
        <w:ind w:left="0" w:leftChars="0" w:firstLine="0" w:firstLineChars="0"/>
        <w:rPr>
          <w:rFonts w:hint="eastAsia"/>
          <w:highlight w:val="none"/>
          <w:lang w:val="en-US" w:eastAsia="zh-CN"/>
        </w:rPr>
      </w:pPr>
      <w:r>
        <w:rPr>
          <w:rFonts w:hint="eastAsia"/>
          <w:highlight w:val="none"/>
          <w:lang w:val="en-US" w:eastAsia="zh-CN"/>
        </w:rPr>
        <w:t>附件一</w:t>
      </w:r>
    </w:p>
    <w:p w14:paraId="1F9DE654">
      <w:pPr>
        <w:pStyle w:val="47"/>
        <w:keepNext w:val="0"/>
        <w:keepLines w:val="0"/>
        <w:pageBreakBefore w:val="0"/>
        <w:widowControl w:val="0"/>
        <w:kinsoku/>
        <w:wordWrap/>
        <w:overflowPunct/>
        <w:topLinePunct w:val="0"/>
        <w:autoSpaceDE/>
        <w:autoSpaceDN/>
        <w:bidi w:val="0"/>
        <w:adjustRightInd/>
        <w:snapToGrid/>
        <w:spacing w:before="0"/>
        <w:ind w:left="0" w:leftChars="0" w:firstLine="0" w:firstLineChars="0"/>
        <w:jc w:val="left"/>
        <w:textAlignment w:val="auto"/>
        <w:rPr>
          <w:rFonts w:hint="default"/>
          <w:highlight w:val="none"/>
          <w:lang w:val="en-US" w:eastAsia="zh-CN"/>
        </w:rPr>
      </w:pPr>
      <w:r>
        <w:rPr>
          <w:rFonts w:hint="eastAsia"/>
          <w:highlight w:val="none"/>
          <w:lang w:val="en-US" w:eastAsia="zh-CN"/>
        </w:rPr>
        <w:t>详见附件</w:t>
      </w:r>
    </w:p>
    <w:p w14:paraId="5F5D0D2B">
      <w:pPr>
        <w:pStyle w:val="47"/>
        <w:ind w:left="0" w:leftChars="0" w:firstLine="0" w:firstLineChars="0"/>
        <w:jc w:val="center"/>
        <w:rPr>
          <w:rFonts w:hint="eastAsia"/>
          <w:highlight w:val="none"/>
          <w:lang w:val="en-US" w:eastAsia="zh-CN"/>
        </w:rPr>
      </w:pPr>
    </w:p>
    <w:p w14:paraId="7E47D8A9">
      <w:pPr>
        <w:ind w:left="0" w:leftChars="0" w:firstLine="0" w:firstLineChars="0"/>
        <w:rPr>
          <w:rFonts w:hint="eastAsia"/>
          <w:color w:val="000000"/>
          <w:highlight w:val="none"/>
        </w:rPr>
      </w:pPr>
    </w:p>
    <w:p w14:paraId="53FB8B9B">
      <w:pPr>
        <w:pStyle w:val="18"/>
        <w:rPr>
          <w:rFonts w:hint="eastAsia"/>
          <w:color w:val="000000"/>
          <w:highlight w:val="none"/>
        </w:rPr>
      </w:pPr>
    </w:p>
    <w:p w14:paraId="75E2B79E">
      <w:pPr>
        <w:rPr>
          <w:rFonts w:hint="eastAsia"/>
          <w:color w:val="000000"/>
          <w:highlight w:val="none"/>
        </w:rPr>
      </w:pPr>
    </w:p>
    <w:p w14:paraId="0A1908BE">
      <w:pPr>
        <w:ind w:left="0" w:leftChars="0" w:firstLine="0" w:firstLineChars="0"/>
        <w:rPr>
          <w:rFonts w:ascii="Times New Roman" w:hAnsi="黑体"/>
          <w:b w:val="0"/>
          <w:color w:val="000000" w:themeColor="text1"/>
          <w:szCs w:val="36"/>
          <w:highlight w:val="none"/>
          <w14:textFill>
            <w14:solidFill>
              <w14:schemeClr w14:val="tx1"/>
            </w14:solidFill>
          </w14:textFill>
        </w:rPr>
        <w:sectPr>
          <w:headerReference r:id="rId11" w:type="default"/>
          <w:footerReference r:id="rId12" w:type="default"/>
          <w:pgSz w:w="11907" w:h="16840"/>
          <w:pgMar w:top="1474" w:right="1474" w:bottom="1247" w:left="1587" w:header="851" w:footer="851" w:gutter="0"/>
          <w:pgBorders>
            <w:top w:val="none" w:sz="0" w:space="0"/>
            <w:left w:val="none" w:sz="0" w:space="0"/>
            <w:bottom w:val="none" w:sz="0" w:space="0"/>
            <w:right w:val="none" w:sz="0" w:space="0"/>
          </w:pgBorders>
          <w:cols w:space="0" w:num="1"/>
          <w:docGrid w:linePitch="312" w:charSpace="0"/>
        </w:sectPr>
      </w:pPr>
      <w:bookmarkStart w:id="205" w:name="_Toc28246"/>
      <w:bookmarkStart w:id="206" w:name="_Toc12025631"/>
    </w:p>
    <w:p w14:paraId="4A6FD632">
      <w:pPr>
        <w:pStyle w:val="4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eastAsia"/>
          <w:highlight w:val="none"/>
          <w:lang w:val="en-US" w:eastAsia="zh-CN"/>
        </w:rPr>
      </w:pPr>
      <w:r>
        <w:rPr>
          <w:rFonts w:hint="eastAsia"/>
          <w:highlight w:val="none"/>
          <w:lang w:val="en-US" w:eastAsia="zh-CN"/>
        </w:rPr>
        <w:t>附件二</w:t>
      </w:r>
    </w:p>
    <w:p w14:paraId="4185DB8D">
      <w:pPr>
        <w:spacing w:line="420" w:lineRule="exact"/>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rPr>
        <w:t>工程承包人供应材料、设备、构配件及甲供材超量使用违约金标准</w:t>
      </w:r>
    </w:p>
    <w:p w14:paraId="7C3744FD">
      <w:pPr>
        <w:pStyle w:val="47"/>
        <w:rPr>
          <w:rFonts w:hint="eastAsia"/>
          <w:highlight w:val="none"/>
        </w:rPr>
      </w:pPr>
    </w:p>
    <w:tbl>
      <w:tblPr>
        <w:tblStyle w:val="48"/>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54"/>
        <w:gridCol w:w="2124"/>
        <w:gridCol w:w="657"/>
        <w:gridCol w:w="1049"/>
        <w:gridCol w:w="1183"/>
        <w:gridCol w:w="670"/>
        <w:gridCol w:w="652"/>
        <w:gridCol w:w="617"/>
        <w:gridCol w:w="576"/>
      </w:tblGrid>
      <w:tr w14:paraId="45B4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6" w:type="dxa"/>
            <w:noWrap w:val="0"/>
            <w:vAlign w:val="center"/>
          </w:tcPr>
          <w:p w14:paraId="3A77567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54" w:type="dxa"/>
            <w:noWrap w:val="0"/>
            <w:vAlign w:val="center"/>
          </w:tcPr>
          <w:p w14:paraId="7CE6CF4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品种</w:t>
            </w:r>
          </w:p>
        </w:tc>
        <w:tc>
          <w:tcPr>
            <w:tcW w:w="2124" w:type="dxa"/>
            <w:noWrap w:val="0"/>
            <w:vAlign w:val="center"/>
          </w:tcPr>
          <w:p w14:paraId="510E9AA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657" w:type="dxa"/>
            <w:noWrap w:val="0"/>
            <w:vAlign w:val="center"/>
          </w:tcPr>
          <w:p w14:paraId="0CB6CDF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049" w:type="dxa"/>
            <w:noWrap w:val="0"/>
            <w:vAlign w:val="center"/>
          </w:tcPr>
          <w:p w14:paraId="16E40C1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183" w:type="dxa"/>
            <w:noWrap w:val="0"/>
            <w:vAlign w:val="center"/>
          </w:tcPr>
          <w:p w14:paraId="6BF17D7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违约</w:t>
            </w:r>
          </w:p>
          <w:p w14:paraId="4F14030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单价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w:t>
            </w:r>
          </w:p>
        </w:tc>
        <w:tc>
          <w:tcPr>
            <w:tcW w:w="670" w:type="dxa"/>
            <w:noWrap w:val="0"/>
            <w:vAlign w:val="center"/>
          </w:tcPr>
          <w:p w14:paraId="7D2FA6F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质量等级</w:t>
            </w:r>
          </w:p>
        </w:tc>
        <w:tc>
          <w:tcPr>
            <w:tcW w:w="652" w:type="dxa"/>
            <w:noWrap w:val="0"/>
            <w:vAlign w:val="center"/>
          </w:tcPr>
          <w:p w14:paraId="0EFC3D5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供应时间</w:t>
            </w:r>
          </w:p>
        </w:tc>
        <w:tc>
          <w:tcPr>
            <w:tcW w:w="617" w:type="dxa"/>
            <w:noWrap w:val="0"/>
            <w:vAlign w:val="center"/>
          </w:tcPr>
          <w:p w14:paraId="796A645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送达地点</w:t>
            </w:r>
          </w:p>
        </w:tc>
        <w:tc>
          <w:tcPr>
            <w:tcW w:w="576" w:type="dxa"/>
            <w:noWrap w:val="0"/>
            <w:vAlign w:val="center"/>
          </w:tcPr>
          <w:p w14:paraId="3FC651E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6689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2FFD5FA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1</w:t>
            </w:r>
          </w:p>
        </w:tc>
        <w:tc>
          <w:tcPr>
            <w:tcW w:w="1754" w:type="dxa"/>
            <w:noWrap w:val="0"/>
            <w:vAlign w:val="center"/>
          </w:tcPr>
          <w:p w14:paraId="04F6F134">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围堰</w:t>
            </w:r>
          </w:p>
        </w:tc>
        <w:tc>
          <w:tcPr>
            <w:tcW w:w="2124" w:type="dxa"/>
            <w:noWrap w:val="0"/>
            <w:vAlign w:val="center"/>
          </w:tcPr>
          <w:p w14:paraId="2D789A9B">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混凝土强度等级:C25</w:t>
            </w:r>
          </w:p>
        </w:tc>
        <w:tc>
          <w:tcPr>
            <w:tcW w:w="657" w:type="dxa"/>
            <w:noWrap w:val="0"/>
            <w:vAlign w:val="center"/>
          </w:tcPr>
          <w:p w14:paraId="55A918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m3</w:t>
            </w:r>
          </w:p>
        </w:tc>
        <w:tc>
          <w:tcPr>
            <w:tcW w:w="1049" w:type="dxa"/>
            <w:noWrap w:val="0"/>
            <w:vAlign w:val="center"/>
          </w:tcPr>
          <w:p w14:paraId="753D93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i w:val="0"/>
                <w:iCs w:val="0"/>
                <w:color w:val="262626"/>
                <w:kern w:val="2"/>
                <w:sz w:val="21"/>
                <w:szCs w:val="21"/>
                <w:highlight w:val="none"/>
                <w:u w:val="none"/>
                <w:lang w:val="en-US" w:eastAsia="zh-CN" w:bidi="ar-SA"/>
              </w:rPr>
            </w:pPr>
            <w:r>
              <w:rPr>
                <w:rFonts w:hint="eastAsia" w:ascii="宋体" w:hAnsi="宋体" w:cs="宋体"/>
                <w:b w:val="0"/>
                <w:bCs w:val="0"/>
                <w:i w:val="0"/>
                <w:iCs w:val="0"/>
                <w:color w:val="262626"/>
                <w:kern w:val="2"/>
                <w:sz w:val="21"/>
                <w:szCs w:val="21"/>
                <w:highlight w:val="none"/>
                <w:u w:val="none"/>
                <w:lang w:val="en-US" w:eastAsia="zh-CN" w:bidi="ar-SA"/>
              </w:rPr>
              <w:t>50.66</w:t>
            </w:r>
          </w:p>
        </w:tc>
        <w:tc>
          <w:tcPr>
            <w:tcW w:w="1183" w:type="dxa"/>
            <w:noWrap w:val="0"/>
            <w:vAlign w:val="center"/>
          </w:tcPr>
          <w:p w14:paraId="7A07F1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i w:val="0"/>
                <w:iCs w:val="0"/>
                <w:color w:val="262626"/>
                <w:kern w:val="2"/>
                <w:sz w:val="21"/>
                <w:szCs w:val="21"/>
                <w:highlight w:val="none"/>
                <w:u w:val="none"/>
                <w:lang w:val="en-US" w:eastAsia="zh-CN" w:bidi="ar-SA"/>
              </w:rPr>
            </w:pPr>
            <w:r>
              <w:rPr>
                <w:rFonts w:hint="eastAsia" w:ascii="宋体" w:hAnsi="宋体" w:cs="宋体"/>
                <w:b w:val="0"/>
                <w:bCs w:val="0"/>
                <w:i w:val="0"/>
                <w:iCs w:val="0"/>
                <w:color w:val="262626"/>
                <w:kern w:val="2"/>
                <w:sz w:val="21"/>
                <w:szCs w:val="21"/>
                <w:highlight w:val="none"/>
                <w:u w:val="none"/>
                <w:lang w:val="en-US" w:eastAsia="zh-CN" w:bidi="ar-SA"/>
              </w:rPr>
              <w:t>564</w:t>
            </w:r>
          </w:p>
        </w:tc>
        <w:tc>
          <w:tcPr>
            <w:tcW w:w="670" w:type="dxa"/>
            <w:noWrap w:val="0"/>
            <w:vAlign w:val="center"/>
          </w:tcPr>
          <w:p w14:paraId="6F29BEA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52" w:type="dxa"/>
            <w:noWrap w:val="0"/>
            <w:vAlign w:val="center"/>
          </w:tcPr>
          <w:p w14:paraId="102AB68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17" w:type="dxa"/>
            <w:noWrap w:val="0"/>
            <w:vAlign w:val="center"/>
          </w:tcPr>
          <w:p w14:paraId="1670335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576" w:type="dxa"/>
            <w:noWrap w:val="0"/>
            <w:vAlign w:val="center"/>
          </w:tcPr>
          <w:p w14:paraId="1800F6E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lang w:val="en-US" w:eastAsia="zh-CN"/>
              </w:rPr>
            </w:pPr>
          </w:p>
        </w:tc>
      </w:tr>
      <w:tr w14:paraId="5E9C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0E5D4B3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2</w:t>
            </w:r>
          </w:p>
        </w:tc>
        <w:tc>
          <w:tcPr>
            <w:tcW w:w="1754" w:type="dxa"/>
            <w:noWrap w:val="0"/>
            <w:vAlign w:val="center"/>
          </w:tcPr>
          <w:p w14:paraId="250536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混凝土传力带</w:t>
            </w:r>
          </w:p>
        </w:tc>
        <w:tc>
          <w:tcPr>
            <w:tcW w:w="2124" w:type="dxa"/>
            <w:noWrap w:val="0"/>
            <w:vAlign w:val="center"/>
          </w:tcPr>
          <w:p w14:paraId="3B014B41">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混凝土强度等级:C20</w:t>
            </w:r>
          </w:p>
        </w:tc>
        <w:tc>
          <w:tcPr>
            <w:tcW w:w="657" w:type="dxa"/>
            <w:noWrap w:val="0"/>
            <w:vAlign w:val="center"/>
          </w:tcPr>
          <w:p w14:paraId="04E2E60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M3</w:t>
            </w:r>
          </w:p>
        </w:tc>
        <w:tc>
          <w:tcPr>
            <w:tcW w:w="1049" w:type="dxa"/>
            <w:noWrap w:val="0"/>
            <w:vAlign w:val="center"/>
          </w:tcPr>
          <w:p w14:paraId="6D6C3F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i w:val="0"/>
                <w:iCs w:val="0"/>
                <w:color w:val="262626"/>
                <w:kern w:val="2"/>
                <w:sz w:val="21"/>
                <w:szCs w:val="21"/>
                <w:highlight w:val="none"/>
                <w:u w:val="none"/>
                <w:lang w:val="en-US" w:eastAsia="zh-CN" w:bidi="ar-SA"/>
              </w:rPr>
            </w:pPr>
            <w:r>
              <w:rPr>
                <w:rFonts w:hint="eastAsia" w:ascii="宋体" w:hAnsi="宋体" w:cs="宋体"/>
                <w:b w:val="0"/>
                <w:bCs w:val="0"/>
                <w:i w:val="0"/>
                <w:iCs w:val="0"/>
                <w:color w:val="262626"/>
                <w:kern w:val="2"/>
                <w:sz w:val="21"/>
                <w:szCs w:val="21"/>
                <w:highlight w:val="none"/>
                <w:u w:val="none"/>
                <w:lang w:val="en-US" w:eastAsia="zh-CN" w:bidi="ar-SA"/>
              </w:rPr>
              <w:t>181.88</w:t>
            </w:r>
          </w:p>
        </w:tc>
        <w:tc>
          <w:tcPr>
            <w:tcW w:w="1183" w:type="dxa"/>
            <w:noWrap w:val="0"/>
            <w:vAlign w:val="center"/>
          </w:tcPr>
          <w:p w14:paraId="50C972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i w:val="0"/>
                <w:iCs w:val="0"/>
                <w:color w:val="262626"/>
                <w:kern w:val="2"/>
                <w:sz w:val="21"/>
                <w:szCs w:val="21"/>
                <w:highlight w:val="none"/>
                <w:u w:val="none"/>
                <w:lang w:val="en-US" w:eastAsia="zh-CN" w:bidi="ar-SA"/>
              </w:rPr>
            </w:pPr>
            <w:r>
              <w:rPr>
                <w:rFonts w:hint="eastAsia" w:ascii="宋体" w:hAnsi="宋体" w:cs="宋体"/>
                <w:b w:val="0"/>
                <w:bCs w:val="0"/>
                <w:i w:val="0"/>
                <w:iCs w:val="0"/>
                <w:color w:val="262626"/>
                <w:kern w:val="2"/>
                <w:sz w:val="21"/>
                <w:szCs w:val="21"/>
                <w:highlight w:val="none"/>
                <w:u w:val="none"/>
                <w:lang w:val="en-US" w:eastAsia="zh-CN" w:bidi="ar-SA"/>
              </w:rPr>
              <w:t>546</w:t>
            </w:r>
          </w:p>
        </w:tc>
        <w:tc>
          <w:tcPr>
            <w:tcW w:w="670" w:type="dxa"/>
            <w:noWrap w:val="0"/>
            <w:vAlign w:val="center"/>
          </w:tcPr>
          <w:p w14:paraId="17A737D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52" w:type="dxa"/>
            <w:noWrap w:val="0"/>
            <w:vAlign w:val="center"/>
          </w:tcPr>
          <w:p w14:paraId="5506B29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17" w:type="dxa"/>
            <w:noWrap w:val="0"/>
            <w:vAlign w:val="center"/>
          </w:tcPr>
          <w:p w14:paraId="15645AC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576" w:type="dxa"/>
            <w:noWrap w:val="0"/>
            <w:vAlign w:val="center"/>
          </w:tcPr>
          <w:p w14:paraId="4411708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lang w:val="en-US" w:eastAsia="zh-CN"/>
              </w:rPr>
            </w:pPr>
          </w:p>
        </w:tc>
      </w:tr>
      <w:tr w14:paraId="374E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5907F0AF">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3</w:t>
            </w:r>
          </w:p>
        </w:tc>
        <w:tc>
          <w:tcPr>
            <w:tcW w:w="1754" w:type="dxa"/>
            <w:noWrap w:val="0"/>
            <w:vAlign w:val="center"/>
          </w:tcPr>
          <w:p w14:paraId="7DD0EE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24" w:type="dxa"/>
            <w:noWrap w:val="0"/>
            <w:vAlign w:val="center"/>
          </w:tcPr>
          <w:p w14:paraId="719113C8">
            <w:pPr>
              <w:keepNext w:val="0"/>
              <w:keepLines w:val="0"/>
              <w:widowControl/>
              <w:suppressLineNumbers w:val="0"/>
              <w:ind w:left="0" w:leftChars="0" w:firstLine="0" w:firstLineChars="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57" w:type="dxa"/>
            <w:noWrap w:val="0"/>
            <w:vAlign w:val="center"/>
          </w:tcPr>
          <w:p w14:paraId="40FDBC7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p>
        </w:tc>
        <w:tc>
          <w:tcPr>
            <w:tcW w:w="1049" w:type="dxa"/>
            <w:noWrap w:val="0"/>
            <w:vAlign w:val="center"/>
          </w:tcPr>
          <w:p w14:paraId="69A0C9A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p>
        </w:tc>
        <w:tc>
          <w:tcPr>
            <w:tcW w:w="1183" w:type="dxa"/>
            <w:noWrap w:val="0"/>
            <w:vAlign w:val="center"/>
          </w:tcPr>
          <w:p w14:paraId="609F096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p>
        </w:tc>
        <w:tc>
          <w:tcPr>
            <w:tcW w:w="670" w:type="dxa"/>
            <w:noWrap w:val="0"/>
            <w:vAlign w:val="center"/>
          </w:tcPr>
          <w:p w14:paraId="7744921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52" w:type="dxa"/>
            <w:noWrap w:val="0"/>
            <w:vAlign w:val="center"/>
          </w:tcPr>
          <w:p w14:paraId="295CE8A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617" w:type="dxa"/>
            <w:noWrap w:val="0"/>
            <w:vAlign w:val="center"/>
          </w:tcPr>
          <w:p w14:paraId="5C2ACFD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rPr>
            </w:pPr>
          </w:p>
        </w:tc>
        <w:tc>
          <w:tcPr>
            <w:tcW w:w="576" w:type="dxa"/>
            <w:noWrap w:val="0"/>
            <w:vAlign w:val="center"/>
          </w:tcPr>
          <w:p w14:paraId="0ACC13C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sz w:val="21"/>
                <w:szCs w:val="21"/>
                <w:highlight w:val="none"/>
                <w:lang w:val="en-US" w:eastAsia="zh-CN"/>
              </w:rPr>
            </w:pPr>
          </w:p>
        </w:tc>
      </w:tr>
    </w:tbl>
    <w:p w14:paraId="04134470">
      <w:pPr>
        <w:pStyle w:val="4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default"/>
          <w:highlight w:val="none"/>
          <w:lang w:val="en-US" w:eastAsia="zh-CN"/>
        </w:rPr>
      </w:pPr>
    </w:p>
    <w:p w14:paraId="7B63A4F4">
      <w:pPr>
        <w:pStyle w:val="2"/>
        <w:spacing w:before="0" w:after="0" w:line="240" w:lineRule="auto"/>
        <w:ind w:firstLine="0" w:firstLineChars="0"/>
        <w:jc w:val="both"/>
        <w:rPr>
          <w:rFonts w:ascii="Times New Roman" w:hAnsi="黑体"/>
          <w:b w:val="0"/>
          <w:color w:val="000000" w:themeColor="text1"/>
          <w:szCs w:val="36"/>
          <w:highlight w:val="none"/>
          <w14:textFill>
            <w14:solidFill>
              <w14:schemeClr w14:val="tx1"/>
            </w14:solidFill>
          </w14:textFill>
        </w:rPr>
      </w:pPr>
    </w:p>
    <w:p w14:paraId="4F4B1EEF">
      <w:pPr>
        <w:rPr>
          <w:rFonts w:ascii="Times New Roman" w:hAnsi="黑体"/>
          <w:b w:val="0"/>
          <w:color w:val="000000" w:themeColor="text1"/>
          <w:szCs w:val="36"/>
          <w:highlight w:val="none"/>
          <w14:textFill>
            <w14:solidFill>
              <w14:schemeClr w14:val="tx1"/>
            </w14:solidFill>
          </w14:textFill>
        </w:rPr>
      </w:pPr>
    </w:p>
    <w:p w14:paraId="233D19A9">
      <w:pPr>
        <w:pStyle w:val="18"/>
        <w:rPr>
          <w:rFonts w:ascii="Times New Roman" w:hAnsi="黑体"/>
          <w:b w:val="0"/>
          <w:color w:val="000000" w:themeColor="text1"/>
          <w:szCs w:val="36"/>
          <w:highlight w:val="none"/>
          <w14:textFill>
            <w14:solidFill>
              <w14:schemeClr w14:val="tx1"/>
            </w14:solidFill>
          </w14:textFill>
        </w:rPr>
      </w:pPr>
    </w:p>
    <w:p w14:paraId="63DA2C47">
      <w:pPr>
        <w:rPr>
          <w:highlight w:val="none"/>
        </w:rPr>
      </w:pPr>
    </w:p>
    <w:p w14:paraId="51B6121E">
      <w:pPr>
        <w:rPr>
          <w:rFonts w:ascii="Times New Roman" w:hAnsi="黑体"/>
          <w:b w:val="0"/>
          <w:color w:val="000000" w:themeColor="text1"/>
          <w:szCs w:val="36"/>
          <w:highlight w:val="none"/>
          <w14:textFill>
            <w14:solidFill>
              <w14:schemeClr w14:val="tx1"/>
            </w14:solidFill>
          </w14:textFill>
        </w:rPr>
      </w:pPr>
    </w:p>
    <w:p w14:paraId="63FF63A5">
      <w:pPr>
        <w:pStyle w:val="59"/>
        <w:rPr>
          <w:rFonts w:ascii="Times New Roman" w:hAnsi="黑体"/>
          <w:b w:val="0"/>
          <w:color w:val="000000" w:themeColor="text1"/>
          <w:szCs w:val="36"/>
          <w:highlight w:val="none"/>
          <w14:textFill>
            <w14:solidFill>
              <w14:schemeClr w14:val="tx1"/>
            </w14:solidFill>
          </w14:textFill>
        </w:rPr>
      </w:pPr>
    </w:p>
    <w:p w14:paraId="57A11538">
      <w:pPr>
        <w:pStyle w:val="59"/>
        <w:rPr>
          <w:rFonts w:ascii="Times New Roman" w:hAnsi="黑体"/>
          <w:b w:val="0"/>
          <w:color w:val="000000" w:themeColor="text1"/>
          <w:szCs w:val="36"/>
          <w:highlight w:val="none"/>
          <w14:textFill>
            <w14:solidFill>
              <w14:schemeClr w14:val="tx1"/>
            </w14:solidFill>
          </w14:textFill>
        </w:rPr>
      </w:pPr>
    </w:p>
    <w:p w14:paraId="2D6F828F">
      <w:pPr>
        <w:pStyle w:val="59"/>
        <w:rPr>
          <w:rFonts w:ascii="Times New Roman" w:hAnsi="黑体"/>
          <w:b w:val="0"/>
          <w:color w:val="000000" w:themeColor="text1"/>
          <w:szCs w:val="36"/>
          <w:highlight w:val="none"/>
          <w14:textFill>
            <w14:solidFill>
              <w14:schemeClr w14:val="tx1"/>
            </w14:solidFill>
          </w14:textFill>
        </w:rPr>
      </w:pPr>
    </w:p>
    <w:p w14:paraId="6E04766A">
      <w:pPr>
        <w:pStyle w:val="59"/>
        <w:rPr>
          <w:rFonts w:ascii="Times New Roman" w:hAnsi="黑体"/>
          <w:b w:val="0"/>
          <w:color w:val="000000" w:themeColor="text1"/>
          <w:szCs w:val="36"/>
          <w:highlight w:val="none"/>
          <w14:textFill>
            <w14:solidFill>
              <w14:schemeClr w14:val="tx1"/>
            </w14:solidFill>
          </w14:textFill>
        </w:rPr>
      </w:pPr>
    </w:p>
    <w:p w14:paraId="6C47210F">
      <w:pPr>
        <w:pStyle w:val="59"/>
        <w:rPr>
          <w:rFonts w:ascii="Times New Roman" w:hAnsi="黑体"/>
          <w:b w:val="0"/>
          <w:color w:val="000000" w:themeColor="text1"/>
          <w:szCs w:val="36"/>
          <w:highlight w:val="none"/>
          <w14:textFill>
            <w14:solidFill>
              <w14:schemeClr w14:val="tx1"/>
            </w14:solidFill>
          </w14:textFill>
        </w:rPr>
      </w:pPr>
    </w:p>
    <w:p w14:paraId="578B6ABE">
      <w:pPr>
        <w:pStyle w:val="59"/>
        <w:rPr>
          <w:rFonts w:ascii="Times New Roman" w:hAnsi="黑体"/>
          <w:b w:val="0"/>
          <w:color w:val="000000" w:themeColor="text1"/>
          <w:szCs w:val="36"/>
          <w:highlight w:val="none"/>
          <w14:textFill>
            <w14:solidFill>
              <w14:schemeClr w14:val="tx1"/>
            </w14:solidFill>
          </w14:textFill>
        </w:rPr>
      </w:pPr>
    </w:p>
    <w:p w14:paraId="72770831">
      <w:pPr>
        <w:pStyle w:val="59"/>
        <w:rPr>
          <w:rFonts w:ascii="Times New Roman" w:hAnsi="黑体"/>
          <w:b w:val="0"/>
          <w:color w:val="000000" w:themeColor="text1"/>
          <w:szCs w:val="36"/>
          <w:highlight w:val="none"/>
          <w14:textFill>
            <w14:solidFill>
              <w14:schemeClr w14:val="tx1"/>
            </w14:solidFill>
          </w14:textFill>
        </w:rPr>
      </w:pPr>
    </w:p>
    <w:p w14:paraId="6A6A6BB6">
      <w:pPr>
        <w:pStyle w:val="59"/>
        <w:rPr>
          <w:rFonts w:ascii="Times New Roman" w:hAnsi="黑体"/>
          <w:b w:val="0"/>
          <w:color w:val="000000" w:themeColor="text1"/>
          <w:szCs w:val="36"/>
          <w:highlight w:val="none"/>
          <w14:textFill>
            <w14:solidFill>
              <w14:schemeClr w14:val="tx1"/>
            </w14:solidFill>
          </w14:textFill>
        </w:rPr>
      </w:pPr>
    </w:p>
    <w:p w14:paraId="4731D05E">
      <w:pPr>
        <w:pStyle w:val="59"/>
        <w:rPr>
          <w:rFonts w:ascii="Times New Roman" w:hAnsi="黑体"/>
          <w:b w:val="0"/>
          <w:color w:val="000000" w:themeColor="text1"/>
          <w:szCs w:val="36"/>
          <w:highlight w:val="none"/>
          <w14:textFill>
            <w14:solidFill>
              <w14:schemeClr w14:val="tx1"/>
            </w14:solidFill>
          </w14:textFill>
        </w:rPr>
      </w:pPr>
    </w:p>
    <w:p w14:paraId="60E70AE4">
      <w:pPr>
        <w:pStyle w:val="59"/>
        <w:rPr>
          <w:rFonts w:ascii="Times New Roman" w:hAnsi="黑体"/>
          <w:b w:val="0"/>
          <w:color w:val="000000" w:themeColor="text1"/>
          <w:szCs w:val="36"/>
          <w:highlight w:val="none"/>
          <w14:textFill>
            <w14:solidFill>
              <w14:schemeClr w14:val="tx1"/>
            </w14:solidFill>
          </w14:textFill>
        </w:rPr>
      </w:pPr>
    </w:p>
    <w:p w14:paraId="0DDCFCC6">
      <w:pPr>
        <w:pStyle w:val="59"/>
        <w:rPr>
          <w:rFonts w:ascii="Times New Roman" w:hAnsi="黑体"/>
          <w:b w:val="0"/>
          <w:color w:val="000000" w:themeColor="text1"/>
          <w:szCs w:val="36"/>
          <w:highlight w:val="none"/>
          <w14:textFill>
            <w14:solidFill>
              <w14:schemeClr w14:val="tx1"/>
            </w14:solidFill>
          </w14:textFill>
        </w:rPr>
      </w:pPr>
    </w:p>
    <w:p w14:paraId="7AF8383E">
      <w:pPr>
        <w:pStyle w:val="59"/>
        <w:rPr>
          <w:rFonts w:ascii="Times New Roman" w:hAnsi="黑体"/>
          <w:b w:val="0"/>
          <w:color w:val="000000" w:themeColor="text1"/>
          <w:szCs w:val="36"/>
          <w:highlight w:val="none"/>
          <w14:textFill>
            <w14:solidFill>
              <w14:schemeClr w14:val="tx1"/>
            </w14:solidFill>
          </w14:textFill>
        </w:rPr>
      </w:pPr>
    </w:p>
    <w:p w14:paraId="41FE63E2">
      <w:pPr>
        <w:pStyle w:val="59"/>
        <w:rPr>
          <w:rFonts w:ascii="Times New Roman" w:hAnsi="黑体"/>
          <w:b w:val="0"/>
          <w:color w:val="000000" w:themeColor="text1"/>
          <w:szCs w:val="36"/>
          <w:highlight w:val="none"/>
          <w14:textFill>
            <w14:solidFill>
              <w14:schemeClr w14:val="tx1"/>
            </w14:solidFill>
          </w14:textFill>
        </w:rPr>
      </w:pPr>
    </w:p>
    <w:p w14:paraId="66B807AF">
      <w:pPr>
        <w:pStyle w:val="59"/>
        <w:rPr>
          <w:rFonts w:ascii="Times New Roman" w:hAnsi="黑体"/>
          <w:b w:val="0"/>
          <w:color w:val="000000" w:themeColor="text1"/>
          <w:szCs w:val="36"/>
          <w:highlight w:val="none"/>
          <w14:textFill>
            <w14:solidFill>
              <w14:schemeClr w14:val="tx1"/>
            </w14:solidFill>
          </w14:textFill>
        </w:rPr>
      </w:pPr>
    </w:p>
    <w:p w14:paraId="19D531DF">
      <w:pPr>
        <w:pStyle w:val="59"/>
        <w:rPr>
          <w:rFonts w:ascii="Times New Roman" w:hAnsi="黑体"/>
          <w:b w:val="0"/>
          <w:color w:val="000000" w:themeColor="text1"/>
          <w:szCs w:val="36"/>
          <w:highlight w:val="none"/>
          <w14:textFill>
            <w14:solidFill>
              <w14:schemeClr w14:val="tx1"/>
            </w14:solidFill>
          </w14:textFill>
        </w:rPr>
      </w:pPr>
    </w:p>
    <w:p w14:paraId="52E9B5EA">
      <w:pPr>
        <w:pStyle w:val="59"/>
        <w:rPr>
          <w:rFonts w:ascii="Times New Roman" w:hAnsi="黑体"/>
          <w:b w:val="0"/>
          <w:color w:val="000000" w:themeColor="text1"/>
          <w:szCs w:val="36"/>
          <w:highlight w:val="none"/>
          <w14:textFill>
            <w14:solidFill>
              <w14:schemeClr w14:val="tx1"/>
            </w14:solidFill>
          </w14:textFill>
        </w:rPr>
      </w:pPr>
    </w:p>
    <w:p w14:paraId="70C9C9BE">
      <w:pPr>
        <w:pStyle w:val="59"/>
        <w:rPr>
          <w:rFonts w:ascii="Times New Roman" w:hAnsi="黑体"/>
          <w:b w:val="0"/>
          <w:color w:val="000000" w:themeColor="text1"/>
          <w:szCs w:val="36"/>
          <w:highlight w:val="none"/>
          <w14:textFill>
            <w14:solidFill>
              <w14:schemeClr w14:val="tx1"/>
            </w14:solidFill>
          </w14:textFill>
        </w:rPr>
      </w:pPr>
    </w:p>
    <w:p w14:paraId="45BFF033">
      <w:pPr>
        <w:pStyle w:val="59"/>
        <w:rPr>
          <w:rFonts w:ascii="Times New Roman" w:hAnsi="黑体"/>
          <w:b w:val="0"/>
          <w:color w:val="000000" w:themeColor="text1"/>
          <w:szCs w:val="36"/>
          <w:highlight w:val="none"/>
          <w14:textFill>
            <w14:solidFill>
              <w14:schemeClr w14:val="tx1"/>
            </w14:solidFill>
          </w14:textFill>
        </w:rPr>
      </w:pPr>
    </w:p>
    <w:p w14:paraId="60B91AD3">
      <w:pPr>
        <w:pStyle w:val="4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eastAsia"/>
          <w:highlight w:val="none"/>
          <w:lang w:val="en-US" w:eastAsia="zh-CN"/>
        </w:rPr>
      </w:pPr>
      <w:r>
        <w:rPr>
          <w:rFonts w:hint="eastAsia"/>
          <w:highlight w:val="none"/>
          <w:lang w:val="en-US" w:eastAsia="zh-CN"/>
        </w:rPr>
        <w:t>附件三</w:t>
      </w:r>
    </w:p>
    <w:p w14:paraId="18FF3774">
      <w:pPr>
        <w:adjustRightInd w:val="0"/>
        <w:snapToGrid w:val="0"/>
        <w:spacing w:line="480" w:lineRule="exact"/>
        <w:ind w:firstLine="422" w:firstLineChars="200"/>
        <w:jc w:val="center"/>
        <w:rPr>
          <w:rFonts w:hint="eastAsia" w:ascii="宋体" w:hAnsi="宋体" w:eastAsia="宋体" w:cs="宋体"/>
          <w:b/>
          <w:szCs w:val="21"/>
          <w:highlight w:val="none"/>
          <w:lang w:val="en-US" w:eastAsia="zh-CN" w:bidi="ar"/>
        </w:rPr>
      </w:pPr>
      <w:r>
        <w:rPr>
          <w:rFonts w:hint="eastAsia" w:ascii="宋体" w:hAnsi="宋体" w:eastAsia="宋体" w:cs="宋体"/>
          <w:b/>
          <w:szCs w:val="21"/>
          <w:highlight w:val="none"/>
          <w:lang w:val="en-US" w:eastAsia="zh-CN" w:bidi="ar"/>
        </w:rPr>
        <w:t>安全生产管理与文明施工协议（试行）</w:t>
      </w:r>
    </w:p>
    <w:p w14:paraId="599CE68B">
      <w:pPr>
        <w:keepNext/>
        <w:widowControl w:val="0"/>
        <w:autoSpaceDE w:val="0"/>
        <w:autoSpaceDN w:val="0"/>
        <w:adjustRightInd w:val="0"/>
        <w:spacing w:before="240" w:after="60" w:line="400" w:lineRule="exact"/>
        <w:ind w:firstLine="723" w:firstLineChars="200"/>
        <w:jc w:val="left"/>
        <w:outlineLvl w:val="0"/>
        <w:rPr>
          <w:rFonts w:hint="eastAsia" w:ascii="Arial" w:hAnsi="Arial" w:eastAsia="黑体" w:cs="Times New Roman"/>
          <w:b/>
          <w:kern w:val="28"/>
          <w:sz w:val="36"/>
          <w:szCs w:val="20"/>
          <w:highlight w:val="none"/>
          <w:lang w:val="en-US" w:eastAsia="zh-CN" w:bidi="ar-SA"/>
        </w:rPr>
      </w:pPr>
    </w:p>
    <w:p w14:paraId="2F6355C6">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val="en-US" w:eastAsia="zh-CN"/>
        </w:rPr>
        <w:t>甲方</w:t>
      </w:r>
      <w:r>
        <w:rPr>
          <w:rFonts w:hint="eastAsia" w:ascii="宋体" w:hAnsi="宋体" w:eastAsia="宋体" w:cs="Times New Roman"/>
          <w:szCs w:val="21"/>
          <w:highlight w:val="none"/>
        </w:rPr>
        <w:t>：</w:t>
      </w:r>
      <w:r>
        <w:rPr>
          <w:rFonts w:hint="eastAsia" w:ascii="宋体" w:hAnsi="宋体" w:eastAsia="宋体" w:cs="宋体"/>
          <w:b/>
          <w:bCs/>
          <w:i w:val="0"/>
          <w:iCs w:val="0"/>
          <w:color w:val="000000"/>
          <w:szCs w:val="21"/>
          <w:highlight w:val="none"/>
          <w:u w:val="single"/>
          <w:lang w:eastAsia="zh-CN" w:bidi="ar"/>
        </w:rPr>
        <w:t>连云港徐圩建筑工程有限公司</w:t>
      </w:r>
      <w:r>
        <w:rPr>
          <w:rFonts w:hint="eastAsia" w:ascii="宋体" w:hAnsi="宋体" w:eastAsia="宋体" w:cs="宋体"/>
          <w:color w:val="000000"/>
          <w:szCs w:val="21"/>
          <w:highlight w:val="none"/>
          <w:u w:val="single"/>
          <w:lang w:bidi="ar"/>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以下简称“甲方”</w:t>
      </w:r>
      <w:r>
        <w:rPr>
          <w:rFonts w:ascii="宋体" w:hAnsi="宋体" w:eastAsia="宋体" w:cs="Times New Roman"/>
          <w:szCs w:val="21"/>
          <w:highlight w:val="none"/>
        </w:rPr>
        <w:t>)</w:t>
      </w:r>
    </w:p>
    <w:p w14:paraId="28DE6F9E">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eastAsia="zh-CN"/>
        </w:rPr>
        <w:t>乙方</w:t>
      </w:r>
      <w:r>
        <w:rPr>
          <w:rFonts w:hint="eastAsia" w:ascii="宋体" w:hAnsi="宋体" w:eastAsia="宋体" w:cs="Times New Roman"/>
          <w:szCs w:val="21"/>
          <w:highlight w:val="none"/>
        </w:rPr>
        <w:t>：</w:t>
      </w:r>
      <w:r>
        <w:rPr>
          <w:rFonts w:hint="eastAsia" w:ascii="宋体" w:hAnsi="宋体" w:cs="Times New Roman"/>
          <w:b/>
          <w:bCs/>
          <w:szCs w:val="21"/>
          <w:highlight w:val="none"/>
          <w:u w:val="single"/>
          <w:lang w:val="en-US" w:eastAsia="zh-CN"/>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以下简称“乙方”</w:t>
      </w:r>
      <w:r>
        <w:rPr>
          <w:rFonts w:ascii="宋体" w:hAnsi="宋体" w:eastAsia="宋体" w:cs="Times New Roman"/>
          <w:szCs w:val="21"/>
          <w:highlight w:val="none"/>
        </w:rPr>
        <w:t>)</w:t>
      </w:r>
    </w:p>
    <w:p w14:paraId="7DFB1114">
      <w:pPr>
        <w:spacing w:line="46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双方根据《中华人民共和国安全生产法》、《中华人民共和国消防法》、《中华人民共和国建筑法》、《中华人民共和国民法典》、《中华人民共和国传染病防治法实施办法》、《建设工程安全生产管理条例》、《江苏省安全生产条例》等有关法律法规，国家现行标准规范，以及住建部、江苏省、连云港市政府及徐圩新区管委会有关建筑施工安全生产、文明施工、治安保卫、消防管理的规定规章等，结合甲方制定的相关制度规定，为严格明确工程项目现场甲乙双方的安全管理责任，保证工程施工期间的安全生产、文明施工、治安和消防安全，经甲乙双方平等协商，签订本协议，共同遵守本协议所列条款，本协议为</w:t>
      </w:r>
      <w:r>
        <w:rPr>
          <w:rFonts w:hint="eastAsia" w:ascii="宋体" w:hAnsi="宋体" w:eastAsia="宋体" w:cs="Times New Roman"/>
          <w:b/>
          <w:bCs/>
          <w:szCs w:val="21"/>
          <w:highlight w:val="none"/>
          <w:u w:val="single"/>
          <w:lang w:eastAsia="zh-CN"/>
        </w:rPr>
        <w:t>长华化学新建二氧化碳聚醚及高性能多元醇项目雨水监控池、事故水池钢板及机械租赁</w:t>
      </w:r>
      <w:r>
        <w:rPr>
          <w:rFonts w:hint="eastAsia" w:ascii="宋体" w:hAnsi="宋体" w:cs="Times New Roman"/>
          <w:b/>
          <w:bCs/>
          <w:szCs w:val="21"/>
          <w:highlight w:val="none"/>
          <w:u w:val="single"/>
          <w:lang w:val="en-US" w:eastAsia="zh-CN"/>
        </w:rPr>
        <w:t xml:space="preserve"> </w:t>
      </w:r>
      <w:r>
        <w:rPr>
          <w:rFonts w:hint="eastAsia" w:ascii="宋体" w:hAnsi="宋体" w:eastAsia="宋体" w:cs="Times New Roman"/>
          <w:szCs w:val="21"/>
          <w:highlight w:val="none"/>
        </w:rPr>
        <w:t>合同的附件，与合同具有同样的法律效力。</w:t>
      </w:r>
    </w:p>
    <w:p w14:paraId="15215CE3">
      <w:pPr>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第一条</w:t>
      </w:r>
      <w:r>
        <w:rPr>
          <w:rFonts w:ascii="宋体" w:hAnsi="宋体" w:eastAsia="宋体" w:cs="Times New Roman"/>
          <w:b/>
          <w:szCs w:val="21"/>
          <w:highlight w:val="none"/>
        </w:rPr>
        <w:tab/>
      </w:r>
      <w:r>
        <w:rPr>
          <w:rFonts w:hint="eastAsia" w:ascii="宋体" w:hAnsi="宋体" w:eastAsia="宋体" w:cs="Times New Roman"/>
          <w:b/>
          <w:szCs w:val="21"/>
          <w:highlight w:val="none"/>
        </w:rPr>
        <w:t>责任范围</w:t>
      </w:r>
    </w:p>
    <w:p w14:paraId="76B0B7CA">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甲方负责施工现场安全生产的综合管理工作，依据相关法律法规，建立制度对乙方进行管理。乙方负责提供合同</w:t>
      </w:r>
      <w:r>
        <w:rPr>
          <w:rFonts w:hint="eastAsia" w:ascii="宋体" w:hAnsi="宋体" w:eastAsia="宋体" w:cs="Times New Roman"/>
          <w:szCs w:val="21"/>
          <w:highlight w:val="none"/>
          <w:lang w:val="en-US" w:eastAsia="zh-CN"/>
        </w:rPr>
        <w:t>所需</w:t>
      </w:r>
      <w:r>
        <w:rPr>
          <w:rFonts w:hint="eastAsia" w:ascii="宋体" w:hAnsi="宋体" w:eastAsia="宋体" w:cs="Times New Roman"/>
          <w:szCs w:val="21"/>
          <w:highlight w:val="none"/>
        </w:rPr>
        <w:t>的劳务人员，并遵守甲方施工现场安全生产管理与文明施工的各项规章制度。乙方需按甲方有关劳务用工的规定办理用工手续，向甲方提供相关安全生产资质证件和劳务人员名册及人员合法证件（身份证），并接受甲方的监督和管理。</w:t>
      </w:r>
    </w:p>
    <w:p w14:paraId="289E6E99">
      <w:pPr>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第二条</w:t>
      </w:r>
      <w:r>
        <w:rPr>
          <w:rFonts w:ascii="宋体" w:hAnsi="宋体" w:eastAsia="宋体" w:cs="Times New Roman"/>
          <w:b/>
          <w:szCs w:val="21"/>
          <w:highlight w:val="none"/>
        </w:rPr>
        <w:tab/>
      </w:r>
      <w:r>
        <w:rPr>
          <w:rFonts w:hint="eastAsia" w:ascii="宋体" w:hAnsi="宋体" w:eastAsia="宋体" w:cs="Times New Roman"/>
          <w:b/>
          <w:szCs w:val="21"/>
          <w:highlight w:val="none"/>
        </w:rPr>
        <w:t>安全管理目标</w:t>
      </w:r>
    </w:p>
    <w:p w14:paraId="36F78CF7">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乙方在本协议约定的责任范围内进行的安全生产、文明施工、治安保卫、消防管理等工作必须满足下列目标：</w:t>
      </w:r>
    </w:p>
    <w:p w14:paraId="6BE8D7FC">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2.1.不发生重伤及以上人员伤亡事故；</w:t>
      </w:r>
    </w:p>
    <w:p w14:paraId="3EBFC892">
      <w:pPr>
        <w:spacing w:line="360" w:lineRule="auto"/>
        <w:ind w:firstLine="420" w:firstLineChars="200"/>
        <w:rPr>
          <w:rFonts w:ascii="Times New Roman" w:hAnsi="Times New Roman" w:eastAsia="宋体" w:cs="Times New Roman"/>
          <w:highlight w:val="none"/>
        </w:rPr>
      </w:pPr>
      <w:r>
        <w:rPr>
          <w:rFonts w:hint="eastAsia" w:ascii="宋体" w:hAnsi="宋体" w:eastAsia="宋体" w:cs="Times New Roman"/>
          <w:szCs w:val="21"/>
          <w:highlight w:val="none"/>
        </w:rPr>
        <w:t>2.2不发生火灾、爆炸、机械倒塌等造成直接经济损失超过10</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万元的事故；</w:t>
      </w:r>
    </w:p>
    <w:p w14:paraId="3A2CFFFD">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2.3不发生社会媒体负面曝光事件；</w:t>
      </w:r>
    </w:p>
    <w:p w14:paraId="0276CFD0">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2.4不发生治安保卫事件（构成刑事拘留及以上的事件、盗窃直接损失超过1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万元人民币的事件）；</w:t>
      </w:r>
    </w:p>
    <w:p w14:paraId="41EC50D1">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2.5不发生集体食物中毒事件（同时5人及以上的食物中毒）；</w:t>
      </w:r>
    </w:p>
    <w:p w14:paraId="1E70FAC8">
      <w:pPr>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2.6不发生新冠肺炎等公共卫生事件及职业病事件；</w:t>
      </w:r>
    </w:p>
    <w:p w14:paraId="11798FD5">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2.7项目负责人、专职安全管理人员、特种作业人员、特种设备操作人员持证上岗率达100%；</w:t>
      </w:r>
    </w:p>
    <w:p w14:paraId="4F41B696">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2.8现场作业人员安全教育培训合格率100%；</w:t>
      </w:r>
    </w:p>
    <w:p w14:paraId="603935F6">
      <w:pPr>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2.9各类安全整改要求文件按期关闭率100%</w:t>
      </w:r>
      <w:r>
        <w:rPr>
          <w:rFonts w:hint="eastAsia" w:ascii="宋体" w:hAnsi="宋体" w:eastAsia="宋体" w:cs="Times New Roman"/>
          <w:szCs w:val="21"/>
          <w:highlight w:val="none"/>
          <w:lang w:eastAsia="zh-CN"/>
        </w:rPr>
        <w:t>；</w:t>
      </w:r>
    </w:p>
    <w:p w14:paraId="56D7A11B">
      <w:pPr>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2.10 事故事件上报合规率100%</w:t>
      </w:r>
      <w:r>
        <w:rPr>
          <w:rFonts w:hint="eastAsia" w:ascii="宋体" w:hAnsi="宋体" w:eastAsia="宋体" w:cs="Times New Roman"/>
          <w:szCs w:val="21"/>
          <w:highlight w:val="none"/>
          <w:lang w:eastAsia="zh-CN"/>
        </w:rPr>
        <w:t>；</w:t>
      </w:r>
    </w:p>
    <w:p w14:paraId="5F01051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2.1</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作业人员的安全劳动防护用品分发、使用率100%；</w:t>
      </w:r>
    </w:p>
    <w:p w14:paraId="3448772B">
      <w:pPr>
        <w:spacing w:line="360" w:lineRule="auto"/>
        <w:ind w:left="420" w:leftChars="200" w:firstLine="0" w:firstLineChars="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2.1</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劳务分包单位人员“劳动合同签订率”、“社保缴纳率”、“实名制注册率”100%</w:t>
      </w:r>
      <w:r>
        <w:rPr>
          <w:rFonts w:hint="eastAsia" w:ascii="宋体" w:hAnsi="宋体" w:eastAsia="宋体" w:cs="Times New Roman"/>
          <w:szCs w:val="21"/>
          <w:highlight w:val="none"/>
          <w:lang w:eastAsia="zh-CN"/>
        </w:rPr>
        <w:t>；</w:t>
      </w:r>
    </w:p>
    <w:p w14:paraId="5441EEC3">
      <w:pPr>
        <w:spacing w:line="360" w:lineRule="auto"/>
        <w:ind w:left="420" w:leftChars="200" w:firstLine="0" w:firstLineChars="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不发生在施工现场用车而引起的各类交通事故</w:t>
      </w:r>
      <w:r>
        <w:rPr>
          <w:rFonts w:hint="eastAsia" w:ascii="宋体" w:hAnsi="宋体" w:eastAsia="宋体" w:cs="Times New Roman"/>
          <w:szCs w:val="21"/>
          <w:highlight w:val="none"/>
          <w:lang w:eastAsia="zh-CN"/>
        </w:rPr>
        <w:t>。</w:t>
      </w:r>
    </w:p>
    <w:p w14:paraId="012D1E3F">
      <w:pPr>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第三条</w:t>
      </w:r>
      <w:r>
        <w:rPr>
          <w:rFonts w:ascii="宋体" w:hAnsi="宋体" w:eastAsia="宋体" w:cs="Times New Roman"/>
          <w:b/>
          <w:szCs w:val="21"/>
          <w:highlight w:val="none"/>
        </w:rPr>
        <w:tab/>
      </w:r>
      <w:r>
        <w:rPr>
          <w:rFonts w:hint="eastAsia" w:ascii="宋体" w:hAnsi="宋体" w:eastAsia="宋体" w:cs="Times New Roman"/>
          <w:b/>
          <w:szCs w:val="21"/>
          <w:highlight w:val="none"/>
        </w:rPr>
        <w:t>甲方权利义务</w:t>
      </w:r>
    </w:p>
    <w:p w14:paraId="0A86AF2C">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.1</w:t>
      </w:r>
      <w:r>
        <w:rPr>
          <w:rFonts w:hint="eastAsia" w:ascii="宋体" w:hAnsi="宋体" w:eastAsia="宋体" w:cs="Times New Roman"/>
          <w:szCs w:val="21"/>
          <w:highlight w:val="none"/>
        </w:rPr>
        <w:t>甲方有权对乙方的资质进行审查，不得将劳务作业发包给不具</w:t>
      </w:r>
      <w:r>
        <w:rPr>
          <w:rFonts w:ascii="宋体" w:hAnsi="宋体" w:eastAsia="宋体" w:cs="Times New Roman"/>
          <w:szCs w:val="21"/>
          <w:highlight w:val="none"/>
        </w:rPr>
        <w:t>相应资质的劳务分包单位</w:t>
      </w:r>
      <w:r>
        <w:rPr>
          <w:rFonts w:hint="eastAsia" w:ascii="宋体" w:hAnsi="宋体" w:eastAsia="宋体" w:cs="Times New Roman"/>
          <w:szCs w:val="21"/>
          <w:highlight w:val="none"/>
        </w:rPr>
        <w:t>。</w:t>
      </w:r>
    </w:p>
    <w:p w14:paraId="36FCD8B9">
      <w:pPr>
        <w:widowControl/>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3.2甲方</w:t>
      </w:r>
      <w:r>
        <w:rPr>
          <w:rFonts w:ascii="宋体" w:hAnsi="宋体" w:eastAsia="宋体" w:cs="Times New Roman"/>
          <w:szCs w:val="21"/>
          <w:highlight w:val="none"/>
        </w:rPr>
        <w:t>向</w:t>
      </w:r>
      <w:r>
        <w:rPr>
          <w:rFonts w:hint="eastAsia" w:ascii="宋体" w:hAnsi="宋体" w:eastAsia="宋体" w:cs="Times New Roman"/>
          <w:szCs w:val="21"/>
          <w:highlight w:val="none"/>
        </w:rPr>
        <w:t>乙方</w:t>
      </w:r>
      <w:r>
        <w:rPr>
          <w:rFonts w:ascii="宋体" w:hAnsi="宋体" w:eastAsia="宋体" w:cs="Times New Roman"/>
          <w:szCs w:val="21"/>
          <w:highlight w:val="none"/>
        </w:rPr>
        <w:t>交付具体本合同项下劳务作业</w:t>
      </w:r>
      <w:r>
        <w:rPr>
          <w:rFonts w:hint="eastAsia" w:ascii="宋体" w:hAnsi="宋体" w:eastAsia="宋体" w:cs="Times New Roman"/>
          <w:szCs w:val="21"/>
          <w:highlight w:val="none"/>
        </w:rPr>
        <w:t>符合</w:t>
      </w:r>
      <w:r>
        <w:rPr>
          <w:rFonts w:ascii="宋体" w:hAnsi="宋体" w:eastAsia="宋体" w:cs="Times New Roman"/>
          <w:szCs w:val="21"/>
          <w:highlight w:val="none"/>
        </w:rPr>
        <w:t>开工条件的施工场地，向</w:t>
      </w:r>
      <w:r>
        <w:rPr>
          <w:rFonts w:hint="eastAsia" w:ascii="宋体" w:hAnsi="宋体" w:eastAsia="宋体" w:cs="Times New Roman"/>
          <w:szCs w:val="21"/>
          <w:highlight w:val="none"/>
          <w:lang w:eastAsia="zh-CN"/>
        </w:rPr>
        <w:t>乙方</w:t>
      </w:r>
      <w:r>
        <w:rPr>
          <w:rFonts w:ascii="宋体" w:hAnsi="宋体" w:eastAsia="宋体" w:cs="Times New Roman"/>
          <w:szCs w:val="21"/>
          <w:highlight w:val="none"/>
        </w:rPr>
        <w:t>提供相应的工程地质和地下管网线路资料，按时提供图纸,及时交付工程材料,设备</w:t>
      </w:r>
      <w:r>
        <w:rPr>
          <w:rFonts w:hint="eastAsia" w:ascii="宋体" w:hAnsi="宋体" w:eastAsia="宋体" w:cs="Times New Roman"/>
          <w:szCs w:val="21"/>
          <w:highlight w:val="none"/>
        </w:rPr>
        <w:t>。</w:t>
      </w:r>
      <w:r>
        <w:rPr>
          <w:rFonts w:ascii="宋体" w:hAnsi="宋体" w:eastAsia="宋体" w:cs="Times New Roman"/>
          <w:szCs w:val="21"/>
          <w:highlight w:val="none"/>
        </w:rPr>
        <w:t>所提供的施工机械设备,保证</w:t>
      </w:r>
      <w:r>
        <w:rPr>
          <w:rFonts w:hint="eastAsia" w:ascii="宋体" w:hAnsi="宋体" w:eastAsia="宋体" w:cs="Times New Roman"/>
          <w:szCs w:val="21"/>
          <w:highlight w:val="none"/>
        </w:rPr>
        <w:t>安全</w:t>
      </w:r>
      <w:r>
        <w:rPr>
          <w:rFonts w:ascii="宋体" w:hAnsi="宋体" w:eastAsia="宋体" w:cs="Times New Roman"/>
          <w:szCs w:val="21"/>
          <w:highlight w:val="none"/>
        </w:rPr>
        <w:t>施工需要</w:t>
      </w:r>
      <w:r>
        <w:rPr>
          <w:rFonts w:hint="eastAsia" w:ascii="宋体" w:hAnsi="宋体" w:eastAsia="宋体" w:cs="Times New Roman"/>
          <w:szCs w:val="21"/>
          <w:highlight w:val="none"/>
        </w:rPr>
        <w:t>。</w:t>
      </w:r>
    </w:p>
    <w:p w14:paraId="6BB201B8">
      <w:pPr>
        <w:widowControl/>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.3甲方应按照法律法规要求，对乙方人员进行入场和岗位的安全教育、培训，人员经考核合格后方可上岗，并留有记录。</w:t>
      </w:r>
    </w:p>
    <w:p w14:paraId="321B38D7">
      <w:pPr>
        <w:spacing w:line="360" w:lineRule="auto"/>
        <w:ind w:firstLine="420" w:firstLineChars="200"/>
        <w:rPr>
          <w:rFonts w:ascii="宋体" w:hAnsi="宋体" w:eastAsia="宋体" w:cs="Times New Roman"/>
          <w:color w:val="333333"/>
          <w:szCs w:val="21"/>
          <w:highlight w:val="none"/>
          <w:shd w:val="clear" w:color="auto" w:fill="FFFFFF"/>
        </w:rPr>
      </w:pPr>
      <w:r>
        <w:rPr>
          <w:rFonts w:hint="eastAsia" w:ascii="宋体" w:hAnsi="宋体" w:eastAsia="宋体" w:cs="Times New Roman"/>
          <w:szCs w:val="21"/>
          <w:highlight w:val="none"/>
        </w:rPr>
        <w:t>3</w:t>
      </w:r>
      <w:r>
        <w:rPr>
          <w:rFonts w:ascii="宋体" w:hAnsi="宋体" w:eastAsia="宋体" w:cs="Times New Roman"/>
          <w:color w:val="333333"/>
          <w:szCs w:val="21"/>
          <w:highlight w:val="none"/>
          <w:shd w:val="clear" w:color="auto" w:fill="FFFFFF"/>
        </w:rPr>
        <w:t>.4甲方在施工前及过程中应及时向乙方进行安全技术交底并认真履行签字手续。</w:t>
      </w:r>
    </w:p>
    <w:p w14:paraId="0518AA4B">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color w:val="333333"/>
          <w:szCs w:val="21"/>
          <w:highlight w:val="none"/>
          <w:shd w:val="clear" w:color="auto" w:fill="FFFFFF"/>
        </w:rPr>
        <w:t>.5甲方</w:t>
      </w:r>
      <w:r>
        <w:rPr>
          <w:rFonts w:hint="eastAsia" w:ascii="宋体" w:hAnsi="宋体" w:eastAsia="宋体" w:cs="Times New Roman"/>
          <w:szCs w:val="21"/>
          <w:highlight w:val="none"/>
        </w:rPr>
        <w:t>应定期对乙方施工过程进行安全环保检查，针对乙方在施工生产中存在安全事故隐患、违章作业、违章指挥等行为有权签发整改通知单和罚款单，针对乙方严重违章作业及危及人员生命和财产安全的行为，有权要求立即停工。若乙方在施工过程中出现严重安全隐患并屡教不改，不服从管理的，甲方有</w:t>
      </w:r>
      <w:r>
        <w:rPr>
          <w:rFonts w:hint="eastAsia" w:ascii="宋体" w:hAnsi="宋体" w:eastAsia="宋体" w:cs="Times New Roman"/>
          <w:szCs w:val="21"/>
          <w:highlight w:val="none"/>
          <w:lang w:val="en-US" w:eastAsia="zh-CN"/>
        </w:rPr>
        <w:t>权</w:t>
      </w:r>
      <w:r>
        <w:rPr>
          <w:rFonts w:hint="eastAsia" w:ascii="宋体" w:hAnsi="宋体" w:eastAsia="宋体" w:cs="Times New Roman"/>
          <w:szCs w:val="21"/>
          <w:highlight w:val="none"/>
        </w:rPr>
        <w:t>解除合同，并由乙方承担由此而产生的一切责任。</w:t>
      </w:r>
    </w:p>
    <w:p w14:paraId="2AE9D842">
      <w:pPr>
        <w:widowControl/>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.6按合同约定及时向</w:t>
      </w:r>
      <w:r>
        <w:rPr>
          <w:rFonts w:hint="eastAsia" w:ascii="宋体" w:hAnsi="宋体" w:eastAsia="宋体" w:cs="Times New Roman"/>
          <w:szCs w:val="21"/>
          <w:highlight w:val="none"/>
          <w:lang w:eastAsia="zh-CN"/>
        </w:rPr>
        <w:t>乙方</w:t>
      </w:r>
      <w:r>
        <w:rPr>
          <w:rFonts w:ascii="宋体" w:hAnsi="宋体" w:eastAsia="宋体" w:cs="Times New Roman"/>
          <w:szCs w:val="21"/>
          <w:highlight w:val="none"/>
        </w:rPr>
        <w:t>支付劳动报酬。</w:t>
      </w:r>
    </w:p>
    <w:p w14:paraId="6F604F03">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7甲方不得明示或者暗示乙方购买、租赁、使用不符合安全施工要求的安全防护用具、机械设备、施工机具及配件、消防设施和器材。</w:t>
      </w:r>
    </w:p>
    <w:p w14:paraId="36D9FB3F">
      <w:pPr>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第四条</w:t>
      </w:r>
      <w:r>
        <w:rPr>
          <w:rFonts w:ascii="宋体" w:hAnsi="宋体" w:eastAsia="宋体" w:cs="Times New Roman"/>
          <w:b/>
          <w:szCs w:val="21"/>
          <w:highlight w:val="none"/>
        </w:rPr>
        <w:tab/>
      </w:r>
      <w:r>
        <w:rPr>
          <w:rFonts w:hint="eastAsia" w:ascii="宋体" w:hAnsi="宋体" w:eastAsia="宋体" w:cs="Times New Roman"/>
          <w:b/>
          <w:szCs w:val="21"/>
          <w:highlight w:val="none"/>
        </w:rPr>
        <w:t>乙方权利义务</w:t>
      </w:r>
    </w:p>
    <w:p w14:paraId="35891D98">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4.1乙方应贯彻落实国家及江苏省、连云港市</w:t>
      </w:r>
      <w:r>
        <w:rPr>
          <w:rFonts w:hint="eastAsia" w:ascii="宋体" w:hAnsi="宋体" w:eastAsia="宋体" w:cs="Times New Roman"/>
          <w:szCs w:val="21"/>
          <w:highlight w:val="none"/>
          <w:lang w:val="en-US" w:eastAsia="zh-CN"/>
        </w:rPr>
        <w:t>等</w:t>
      </w:r>
      <w:r>
        <w:rPr>
          <w:rFonts w:hint="eastAsia" w:ascii="宋体" w:hAnsi="宋体" w:eastAsia="宋体" w:cs="Times New Roman"/>
          <w:szCs w:val="21"/>
          <w:highlight w:val="none"/>
        </w:rPr>
        <w:t>有关施工现场安全生产的法规和管理制度以及行业规程有关安全生产的规定，建立健全安全生产责任制和安全生产管理制度，对施工区域的安全生产管理负全面责任。</w:t>
      </w:r>
    </w:p>
    <w:p w14:paraId="0E79E066">
      <w:pPr>
        <w:spacing w:line="360" w:lineRule="auto"/>
        <w:ind w:firstLine="420" w:firstLineChars="200"/>
        <w:rPr>
          <w:rFonts w:ascii="宋体" w:hAnsi="宋体" w:eastAsia="宋体" w:cs="Times New Roman"/>
          <w:color w:val="333333"/>
          <w:szCs w:val="21"/>
          <w:highlight w:val="none"/>
          <w:shd w:val="clear" w:color="auto" w:fill="FFFFFF"/>
        </w:rPr>
      </w:pPr>
      <w:r>
        <w:rPr>
          <w:rFonts w:ascii="宋体" w:hAnsi="宋体" w:eastAsia="宋体" w:cs="Times New Roman"/>
          <w:color w:val="333333"/>
          <w:szCs w:val="21"/>
          <w:highlight w:val="none"/>
          <w:shd w:val="clear" w:color="auto" w:fill="FFFFFF"/>
        </w:rPr>
        <w:t>4.2施工前，乙方必须对全体施工人员进行有关施工项目工作的安全知识和安全规程培训教育后方可上岗，并报甲方备案，必要时由甲方组织对乙方有关施工人员进行安全规章制度的培训及考试。</w:t>
      </w:r>
    </w:p>
    <w:p w14:paraId="417A36E9">
      <w:pPr>
        <w:spacing w:line="360" w:lineRule="auto"/>
        <w:ind w:firstLine="420" w:firstLineChars="200"/>
        <w:rPr>
          <w:rFonts w:ascii="宋体" w:hAnsi="宋体" w:eastAsia="宋体" w:cs="Times New Roman"/>
          <w:szCs w:val="21"/>
          <w:highlight w:val="none"/>
        </w:rPr>
      </w:pPr>
      <w:r>
        <w:rPr>
          <w:rFonts w:ascii="宋体" w:hAnsi="宋体" w:eastAsia="宋体" w:cs="Times New Roman"/>
          <w:color w:val="333333"/>
          <w:szCs w:val="21"/>
          <w:highlight w:val="none"/>
          <w:shd w:val="clear" w:color="auto" w:fill="FFFFFF"/>
        </w:rPr>
        <w:t>4.3施工时，乙方应按劳动保护规定为参加施工的人员配备足够合格的防护用品和安全工器具，并按规定对施工人员进行定期健康检查并达到参加施工要求，特种作业人员必须持有关部门颁发的合格有效的上岗资格证书。</w:t>
      </w:r>
    </w:p>
    <w:p w14:paraId="46546AD2">
      <w:pPr>
        <w:spacing w:line="360" w:lineRule="auto"/>
        <w:ind w:firstLine="420" w:firstLineChars="200"/>
        <w:rPr>
          <w:rFonts w:ascii="宋体" w:hAnsi="宋体" w:eastAsia="宋体" w:cs="Times New Roman"/>
          <w:color w:val="auto"/>
          <w:szCs w:val="21"/>
          <w:highlight w:val="none"/>
          <w:shd w:val="clear" w:color="auto" w:fill="FFFFFF"/>
        </w:rPr>
      </w:pPr>
      <w:r>
        <w:rPr>
          <w:rFonts w:ascii="宋体" w:hAnsi="宋体" w:eastAsia="宋体" w:cs="Times New Roman"/>
          <w:color w:val="333333"/>
          <w:szCs w:val="21"/>
          <w:highlight w:val="none"/>
          <w:shd w:val="clear" w:color="auto" w:fill="FFFFFF"/>
        </w:rPr>
        <w:t>4.4乙方必须认真执行、落实甲方安全生产及文明施工的各项制度，成立施工现场安全管理机构，负</w:t>
      </w:r>
      <w:r>
        <w:rPr>
          <w:rFonts w:ascii="宋体" w:hAnsi="宋体" w:eastAsia="宋体" w:cs="Times New Roman"/>
          <w:color w:val="auto"/>
          <w:szCs w:val="21"/>
          <w:highlight w:val="none"/>
          <w:shd w:val="clear" w:color="auto" w:fill="FFFFFF"/>
        </w:rPr>
        <w:t>责日常的安全管理工作。</w:t>
      </w:r>
    </w:p>
    <w:p w14:paraId="36EE7DAF">
      <w:pPr>
        <w:spacing w:line="360" w:lineRule="auto"/>
        <w:ind w:firstLine="420" w:firstLineChars="200"/>
        <w:rPr>
          <w:rFonts w:ascii="宋体" w:hAnsi="宋体" w:eastAsia="宋体" w:cs="Times New Roman"/>
          <w:color w:val="auto"/>
          <w:szCs w:val="21"/>
          <w:highlight w:val="none"/>
          <w:shd w:val="clear" w:color="auto" w:fill="FFFFFF"/>
        </w:rPr>
      </w:pPr>
      <w:r>
        <w:rPr>
          <w:rFonts w:ascii="宋体" w:hAnsi="宋体" w:eastAsia="宋体" w:cs="Times New Roman"/>
          <w:color w:val="auto"/>
          <w:szCs w:val="21"/>
          <w:highlight w:val="none"/>
          <w:shd w:val="clear" w:color="auto" w:fill="FFFFFF"/>
        </w:rPr>
        <w:t>4.5</w:t>
      </w:r>
      <w:r>
        <w:rPr>
          <w:rFonts w:ascii="宋体" w:hAnsi="宋体" w:eastAsia="Helvetica" w:cs="Helvetica"/>
          <w:b w:val="0"/>
          <w:bCs w:val="0"/>
          <w:color w:val="auto"/>
          <w:kern w:val="0"/>
          <w:szCs w:val="21"/>
          <w:highlight w:val="none"/>
          <w:shd w:val="clear" w:color="auto" w:fill="FFFFFF"/>
          <w:lang w:bidi="ar"/>
        </w:rPr>
        <w:t>乙方在施工过程中如需</w:t>
      </w:r>
      <w:r>
        <w:rPr>
          <w:rFonts w:hint="eastAsia" w:ascii="宋体" w:hAnsi="宋体" w:eastAsia="宋体" w:cs="Times New Roman"/>
          <w:color w:val="auto"/>
          <w:szCs w:val="21"/>
          <w:highlight w:val="none"/>
          <w:shd w:val="clear" w:color="auto" w:fill="FFFFFF"/>
          <w:lang w:bidi="ar"/>
        </w:rPr>
        <w:t>进行危险作业的（如动火作业、有限空间作业等）</w:t>
      </w:r>
      <w:r>
        <w:rPr>
          <w:rFonts w:ascii="宋体" w:hAnsi="宋体" w:eastAsia="Helvetica" w:cs="Helvetica"/>
          <w:b w:val="0"/>
          <w:bCs w:val="0"/>
          <w:color w:val="auto"/>
          <w:kern w:val="0"/>
          <w:szCs w:val="21"/>
          <w:highlight w:val="none"/>
          <w:shd w:val="clear" w:color="auto" w:fill="FFFFFF"/>
          <w:lang w:bidi="ar"/>
        </w:rPr>
        <w:t>，应根据</w:t>
      </w:r>
      <w:r>
        <w:rPr>
          <w:rFonts w:hint="eastAsia" w:ascii="宋体" w:hAnsi="宋体" w:eastAsia="宋体" w:cs="Times New Roman"/>
          <w:color w:val="auto"/>
          <w:szCs w:val="21"/>
          <w:highlight w:val="none"/>
          <w:shd w:val="clear" w:color="auto" w:fill="FFFFFF"/>
          <w:lang w:bidi="ar"/>
        </w:rPr>
        <w:t>危险作业类别和</w:t>
      </w:r>
      <w:r>
        <w:rPr>
          <w:rFonts w:ascii="宋体" w:hAnsi="宋体" w:eastAsia="Helvetica" w:cs="Helvetica"/>
          <w:b w:val="0"/>
          <w:bCs w:val="0"/>
          <w:color w:val="auto"/>
          <w:kern w:val="0"/>
          <w:szCs w:val="21"/>
          <w:highlight w:val="none"/>
          <w:shd w:val="clear" w:color="auto" w:fill="FFFFFF"/>
          <w:lang w:bidi="ar"/>
        </w:rPr>
        <w:t>级别由施工单位向甲方提出申请，</w:t>
      </w:r>
      <w:r>
        <w:rPr>
          <w:rFonts w:hint="eastAsia" w:ascii="宋体" w:hAnsi="宋体" w:eastAsia="宋体" w:cs="Times New Roman"/>
          <w:color w:val="auto"/>
          <w:szCs w:val="21"/>
          <w:highlight w:val="none"/>
          <w:shd w:val="clear" w:color="auto" w:fill="FFFFFF"/>
          <w:lang w:bidi="ar"/>
        </w:rPr>
        <w:t>作业的审批和监督过程中应根据公司的《危险作业及作业票安全管理制度》，</w:t>
      </w:r>
      <w:r>
        <w:rPr>
          <w:rFonts w:ascii="宋体" w:hAnsi="宋体" w:eastAsia="Helvetica" w:cs="Helvetica"/>
          <w:b w:val="0"/>
          <w:bCs w:val="0"/>
          <w:color w:val="auto"/>
          <w:kern w:val="0"/>
          <w:szCs w:val="21"/>
          <w:highlight w:val="none"/>
          <w:shd w:val="clear" w:color="auto" w:fill="FFFFFF"/>
          <w:lang w:bidi="ar"/>
        </w:rPr>
        <w:t>经批准并确认达到</w:t>
      </w:r>
      <w:r>
        <w:rPr>
          <w:rFonts w:hint="eastAsia" w:ascii="宋体" w:hAnsi="宋体" w:eastAsia="宋体" w:cs="Times New Roman"/>
          <w:color w:val="auto"/>
          <w:szCs w:val="21"/>
          <w:highlight w:val="none"/>
          <w:shd w:val="clear" w:color="auto" w:fill="FFFFFF"/>
          <w:lang w:bidi="ar"/>
        </w:rPr>
        <w:t>作业</w:t>
      </w:r>
      <w:r>
        <w:rPr>
          <w:rFonts w:ascii="宋体" w:hAnsi="宋体" w:eastAsia="Helvetica" w:cs="Helvetica"/>
          <w:b w:val="0"/>
          <w:bCs w:val="0"/>
          <w:color w:val="auto"/>
          <w:kern w:val="0"/>
          <w:szCs w:val="21"/>
          <w:highlight w:val="none"/>
          <w:shd w:val="clear" w:color="auto" w:fill="FFFFFF"/>
          <w:lang w:bidi="ar"/>
        </w:rPr>
        <w:t>条件、落实安全防范措施后方可进行作业，</w:t>
      </w:r>
      <w:r>
        <w:rPr>
          <w:rFonts w:hint="eastAsia" w:ascii="宋体" w:hAnsi="宋体" w:eastAsia="宋体" w:cs="Times New Roman"/>
          <w:color w:val="auto"/>
          <w:szCs w:val="21"/>
          <w:highlight w:val="none"/>
          <w:shd w:val="clear" w:color="auto" w:fill="FFFFFF"/>
          <w:lang w:bidi="ar"/>
        </w:rPr>
        <w:t>并由</w:t>
      </w:r>
      <w:r>
        <w:rPr>
          <w:rFonts w:ascii="宋体" w:hAnsi="宋体" w:eastAsia="Helvetica" w:cs="Helvetica"/>
          <w:b w:val="0"/>
          <w:bCs w:val="0"/>
          <w:color w:val="auto"/>
          <w:kern w:val="0"/>
          <w:szCs w:val="21"/>
          <w:highlight w:val="none"/>
          <w:shd w:val="clear" w:color="auto" w:fill="FFFFFF"/>
          <w:lang w:bidi="ar"/>
        </w:rPr>
        <w:t>安全管理人员现场监护，如乙方不按上述规定操作出现的一切后果，自行承担。</w:t>
      </w:r>
    </w:p>
    <w:p w14:paraId="6B87C88E">
      <w:pPr>
        <w:widowControl/>
        <w:spacing w:line="360" w:lineRule="auto"/>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shd w:val="clear" w:color="auto" w:fill="FFFFFF"/>
        </w:rPr>
        <w:t>4.6乙方施工结束后，应对施工现场彻底清理，做好工完、料尽、场地清。清理出的垃圾不能随意堆放在甲方管理的场地内，否则可根据实际情况进行罚款、扣除部分劳务费用，若发生污染等环保问题由乙方负责。</w:t>
      </w:r>
    </w:p>
    <w:p w14:paraId="311F94E2">
      <w:pPr>
        <w:widowControl/>
        <w:spacing w:line="360" w:lineRule="auto"/>
        <w:ind w:firstLine="420" w:firstLineChars="200"/>
        <w:jc w:val="left"/>
        <w:rPr>
          <w:rFonts w:ascii="宋体" w:hAnsi="宋体" w:eastAsia="宋体" w:cs="Times New Roman"/>
          <w:color w:val="333333"/>
          <w:szCs w:val="21"/>
          <w:highlight w:val="none"/>
          <w:shd w:val="clear" w:color="auto" w:fill="FFFFFF"/>
        </w:rPr>
      </w:pPr>
      <w:r>
        <w:rPr>
          <w:rFonts w:ascii="宋体" w:hAnsi="宋体" w:eastAsia="宋体" w:cs="Times New Roman"/>
          <w:color w:val="333333"/>
          <w:szCs w:val="21"/>
          <w:highlight w:val="none"/>
          <w:shd w:val="clear" w:color="auto" w:fill="FFFFFF"/>
        </w:rPr>
        <w:t>4.7</w:t>
      </w:r>
      <w:r>
        <w:rPr>
          <w:rFonts w:hint="eastAsia" w:ascii="宋体" w:hAnsi="宋体" w:eastAsia="宋体" w:cs="Times New Roman"/>
          <w:szCs w:val="21"/>
          <w:highlight w:val="none"/>
        </w:rPr>
        <w:t>乙方</w:t>
      </w:r>
      <w:r>
        <w:rPr>
          <w:rFonts w:ascii="宋体" w:hAnsi="宋体" w:eastAsia="宋体" w:cs="Times New Roman"/>
          <w:color w:val="333333"/>
          <w:szCs w:val="21"/>
          <w:highlight w:val="none"/>
          <w:shd w:val="clear" w:color="auto" w:fill="FFFFFF"/>
        </w:rPr>
        <w:t>对作业范围内的施工用电负有管理责任，配电箱及接线必须符合有关安全用电标准，对自行携带和使用的机械及电器设备负有安全管理和维护保养的责任。</w:t>
      </w:r>
    </w:p>
    <w:p w14:paraId="06352546">
      <w:pPr>
        <w:widowControl/>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4.8乙方劳务队伍的安全防护器材必须配置到位，安全措施得力，否则将不得开工。</w:t>
      </w:r>
    </w:p>
    <w:p w14:paraId="1748A024">
      <w:pPr>
        <w:widowControl/>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4.9</w:t>
      </w:r>
      <w:r>
        <w:rPr>
          <w:rFonts w:ascii="宋体" w:hAnsi="宋体" w:eastAsia="宋体" w:cs="Times New Roman"/>
          <w:color w:val="333333"/>
          <w:szCs w:val="21"/>
          <w:highlight w:val="none"/>
          <w:shd w:val="clear" w:color="auto" w:fill="FFFFFF"/>
        </w:rPr>
        <w:t>乙方需按照</w:t>
      </w:r>
      <w:r>
        <w:rPr>
          <w:rFonts w:hint="eastAsia" w:ascii="宋体" w:hAnsi="宋体" w:eastAsia="宋体" w:cs="Times New Roman"/>
          <w:szCs w:val="21"/>
          <w:highlight w:val="none"/>
        </w:rPr>
        <w:t>《建设工程安全生产管理条例》、《建筑施工企业安全生产管理机构设置及专职安全生产管理人员配备办法》、《江苏省安全生产条例》等有关法律法规配备足够专（兼）职安全员。</w:t>
      </w:r>
    </w:p>
    <w:p w14:paraId="333A675F">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4.10严格按照设计图纸</w:t>
      </w:r>
      <w:r>
        <w:rPr>
          <w:rFonts w:hint="eastAsia" w:ascii="宋体" w:hAnsi="宋体" w:eastAsia="宋体" w:cs="Times New Roman"/>
          <w:szCs w:val="21"/>
          <w:highlight w:val="none"/>
        </w:rPr>
        <w:t>，</w:t>
      </w:r>
      <w:r>
        <w:rPr>
          <w:rFonts w:ascii="宋体" w:hAnsi="宋体" w:eastAsia="宋体" w:cs="Times New Roman"/>
          <w:szCs w:val="21"/>
          <w:highlight w:val="none"/>
        </w:rPr>
        <w:t>施工验收规范</w:t>
      </w:r>
      <w:r>
        <w:rPr>
          <w:rFonts w:hint="eastAsia" w:ascii="宋体" w:hAnsi="宋体" w:eastAsia="宋体" w:cs="Times New Roman"/>
          <w:szCs w:val="21"/>
          <w:highlight w:val="none"/>
        </w:rPr>
        <w:t>，</w:t>
      </w:r>
      <w:r>
        <w:rPr>
          <w:rFonts w:ascii="宋体" w:hAnsi="宋体" w:eastAsia="宋体" w:cs="Times New Roman"/>
          <w:szCs w:val="21"/>
          <w:highlight w:val="none"/>
        </w:rPr>
        <w:t>有关技术要求及施工组织设计精心组织施工</w:t>
      </w:r>
      <w:r>
        <w:rPr>
          <w:rFonts w:hint="eastAsia" w:ascii="宋体" w:hAnsi="宋体" w:eastAsia="宋体" w:cs="Times New Roman"/>
          <w:szCs w:val="21"/>
          <w:highlight w:val="none"/>
        </w:rPr>
        <w:t>，</w:t>
      </w:r>
      <w:r>
        <w:rPr>
          <w:rFonts w:ascii="宋体" w:hAnsi="宋体" w:eastAsia="宋体" w:cs="Times New Roman"/>
          <w:szCs w:val="21"/>
          <w:highlight w:val="none"/>
        </w:rPr>
        <w:t>确保工程安全设施达到法律法规标准。</w:t>
      </w:r>
    </w:p>
    <w:p w14:paraId="25FB6C11">
      <w:pPr>
        <w:widowControl/>
        <w:spacing w:line="360" w:lineRule="auto"/>
        <w:ind w:firstLine="420" w:firstLineChars="200"/>
        <w:jc w:val="left"/>
        <w:rPr>
          <w:rFonts w:ascii="宋体" w:hAnsi="宋体" w:eastAsia="宋体" w:cs="Times New Roman"/>
          <w:color w:val="333333"/>
          <w:szCs w:val="21"/>
          <w:highlight w:val="none"/>
          <w:shd w:val="clear" w:color="auto" w:fill="FFFFFF"/>
        </w:rPr>
      </w:pPr>
      <w:r>
        <w:rPr>
          <w:rFonts w:ascii="宋体" w:hAnsi="宋体" w:eastAsia="宋体" w:cs="Times New Roman"/>
          <w:color w:val="333333"/>
          <w:szCs w:val="21"/>
          <w:highlight w:val="none"/>
          <w:shd w:val="clear" w:color="auto" w:fill="FFFFFF"/>
        </w:rPr>
        <w:t>4.11乙方必须根据甲方施工计划安排、安全技术交底内容组织施工生产，严格遵守各项操作规程。</w:t>
      </w:r>
    </w:p>
    <w:p w14:paraId="2566B835">
      <w:pPr>
        <w:widowControl/>
        <w:spacing w:line="360" w:lineRule="auto"/>
        <w:ind w:firstLine="420" w:firstLineChars="200"/>
        <w:jc w:val="left"/>
        <w:rPr>
          <w:rFonts w:ascii="宋体" w:hAnsi="宋体" w:eastAsia="宋体" w:cs="Times New Roman"/>
          <w:color w:val="333333"/>
          <w:szCs w:val="21"/>
          <w:highlight w:val="none"/>
          <w:shd w:val="clear" w:color="auto" w:fill="FFFFFF"/>
        </w:rPr>
      </w:pPr>
      <w:r>
        <w:rPr>
          <w:rFonts w:ascii="宋体" w:hAnsi="宋体" w:eastAsia="宋体" w:cs="Times New Roman"/>
          <w:color w:val="333333"/>
          <w:szCs w:val="21"/>
          <w:highlight w:val="none"/>
          <w:shd w:val="clear" w:color="auto" w:fill="FFFFFF"/>
        </w:rPr>
        <w:t>4.12乙方应</w:t>
      </w:r>
      <w:r>
        <w:rPr>
          <w:rFonts w:hint="eastAsia" w:ascii="宋体" w:hAnsi="宋体" w:eastAsia="宋体" w:cs="Times New Roman"/>
          <w:szCs w:val="21"/>
          <w:highlight w:val="none"/>
          <w:shd w:val="clear" w:color="auto" w:fill="FFFFFF"/>
        </w:rPr>
        <w:t>按照甲方要求</w:t>
      </w:r>
      <w:r>
        <w:rPr>
          <w:rFonts w:ascii="宋体" w:hAnsi="宋体" w:eastAsia="宋体" w:cs="Times New Roman"/>
          <w:color w:val="333333"/>
          <w:szCs w:val="21"/>
          <w:highlight w:val="none"/>
          <w:shd w:val="clear" w:color="auto" w:fill="FFFFFF"/>
        </w:rPr>
        <w:t>对各作业班组每天进行班前安全</w:t>
      </w:r>
      <w:r>
        <w:rPr>
          <w:rFonts w:hint="eastAsia" w:ascii="宋体" w:hAnsi="宋体" w:eastAsia="宋体" w:cs="Times New Roman"/>
          <w:color w:val="333333"/>
          <w:szCs w:val="21"/>
          <w:highlight w:val="none"/>
          <w:shd w:val="clear" w:color="auto" w:fill="FFFFFF"/>
        </w:rPr>
        <w:t>风险交底</w:t>
      </w:r>
      <w:r>
        <w:rPr>
          <w:rFonts w:ascii="宋体" w:hAnsi="宋体" w:eastAsia="宋体" w:cs="Times New Roman"/>
          <w:color w:val="333333"/>
          <w:szCs w:val="21"/>
          <w:highlight w:val="none"/>
          <w:shd w:val="clear" w:color="auto" w:fill="FFFFFF"/>
        </w:rPr>
        <w:t>，做好施工过程中的安全巡视和检查。</w:t>
      </w:r>
    </w:p>
    <w:p w14:paraId="0B6E9D0F">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color w:val="333333"/>
          <w:szCs w:val="21"/>
          <w:highlight w:val="none"/>
          <w:shd w:val="clear" w:color="auto" w:fill="FFFFFF"/>
        </w:rPr>
        <w:t>4.13</w:t>
      </w:r>
      <w:r>
        <w:rPr>
          <w:rFonts w:hint="eastAsia" w:ascii="宋体" w:hAnsi="宋体" w:eastAsia="宋体" w:cs="Times New Roman"/>
          <w:szCs w:val="21"/>
          <w:highlight w:val="none"/>
        </w:rPr>
        <w:t>乙方必须保证作业人员佩戴、使用符合国家标准、规定的劳动保护用品。乙方由于管理不到位、作业人员违章操作，违反劳动纪律等造成的人员伤害事故，有乙方承担全部责任和经济损失。</w:t>
      </w:r>
    </w:p>
    <w:p w14:paraId="43EC5F1D">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4.14</w:t>
      </w:r>
      <w:r>
        <w:rPr>
          <w:rFonts w:hint="eastAsia" w:ascii="宋体" w:hAnsi="宋体" w:eastAsia="宋体" w:cs="Times New Roman"/>
          <w:szCs w:val="21"/>
          <w:highlight w:val="none"/>
        </w:rPr>
        <w:t>禁止以任何形式招录和使用</w:t>
      </w:r>
      <w:r>
        <w:rPr>
          <w:rFonts w:ascii="宋体" w:hAnsi="宋体" w:eastAsia="宋体" w:cs="Times New Roman"/>
          <w:szCs w:val="21"/>
          <w:highlight w:val="none"/>
        </w:rPr>
        <w:t>60周岁以上男性、50周岁以上女性从事建筑施工现场“高空、高危、高风险、重体力”一线作业活动。</w:t>
      </w:r>
    </w:p>
    <w:p w14:paraId="7E87A1B2">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4.15</w:t>
      </w:r>
      <w:r>
        <w:rPr>
          <w:rFonts w:hint="eastAsia" w:ascii="宋体" w:hAnsi="宋体" w:eastAsia="宋体" w:cs="Times New Roman"/>
          <w:szCs w:val="21"/>
          <w:highlight w:val="none"/>
        </w:rPr>
        <w:t>乙方承接本工程项目后必须了解并执行甲方有关安全生产、文明施工、治安保卫、消防的管理规定，服从甲方管理。存在交叉作业的，应与相关单位签订交叉作业安全管理协议。</w:t>
      </w:r>
    </w:p>
    <w:p w14:paraId="31624E15">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4.16</w:t>
      </w:r>
      <w:r>
        <w:rPr>
          <w:rFonts w:hint="eastAsia" w:ascii="宋体" w:hAnsi="宋体" w:eastAsia="宋体" w:cs="Times New Roman"/>
          <w:szCs w:val="21"/>
          <w:highlight w:val="none"/>
        </w:rPr>
        <w:t>乙方必须按照甲方应急预案要求定期组织劳务人员培训学习，并根据工程进展情况至少每年组织一次对应急演练，以保证有效地应对突发的安全事故。</w:t>
      </w:r>
    </w:p>
    <w:p w14:paraId="43CD939F">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4.17</w:t>
      </w:r>
      <w:r>
        <w:rPr>
          <w:rFonts w:hint="eastAsia" w:ascii="宋体" w:hAnsi="宋体" w:eastAsia="宋体" w:cs="Times New Roman"/>
          <w:szCs w:val="21"/>
          <w:highlight w:val="none"/>
        </w:rPr>
        <w:t>施工现场发生安全生产伤亡事故时，乙方必须立即报告甲方和监理单位，并在事故发生后一小时内向甲方提交事故情况书面快报，并根据《生产安全事故报告和调查处理条例》的规定，及时向政府应急管理部门和建设行政主管部门报告。</w:t>
      </w:r>
    </w:p>
    <w:p w14:paraId="317361B9">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4.18</w:t>
      </w:r>
      <w:r>
        <w:rPr>
          <w:rFonts w:hint="eastAsia" w:ascii="宋体" w:hAnsi="宋体" w:eastAsia="宋体" w:cs="Times New Roman"/>
          <w:szCs w:val="21"/>
          <w:highlight w:val="none"/>
        </w:rPr>
        <w:t>乙方须依照外地人员务工管理规定、建设工程劳务管理规定，严格依法管理，及时为施工人员办理社会、工伤保险等保险，严禁使用手续不齐全的禁用人员和未经入场安全教育的人员进入施工现场作业。</w:t>
      </w:r>
    </w:p>
    <w:p w14:paraId="448B7D36">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4.19</w:t>
      </w:r>
      <w:r>
        <w:rPr>
          <w:rFonts w:hint="eastAsia" w:ascii="宋体" w:hAnsi="宋体" w:eastAsia="宋体" w:cs="Times New Roman"/>
          <w:szCs w:val="21"/>
          <w:highlight w:val="none"/>
        </w:rPr>
        <w:t>乙方在施工现场临时用电必须实行三相五线、三级配电、二级保护制度，施工机具用电必须使用合格开关箱，并遵循“一机一闸一箱一漏”的原则。施工现场临时用电设施必须经验收后方可投入使用。</w:t>
      </w:r>
    </w:p>
    <w:p w14:paraId="07EF3395">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4.20</w:t>
      </w:r>
      <w:r>
        <w:rPr>
          <w:rFonts w:hint="eastAsia" w:ascii="宋体" w:hAnsi="宋体" w:eastAsia="宋体" w:cs="Times New Roman"/>
          <w:szCs w:val="21"/>
          <w:highlight w:val="none"/>
        </w:rPr>
        <w:t>乙方施工人员使用的临时用电设备设施必须符合国家相关要求，禁止采用不合格产品或施工现场禁用产品。乙方应将现场电气产品的合格证、厂家经营许可证复印件等资料经查验无误后存档，并保证根据甲方的要求向甲方提供。</w:t>
      </w:r>
    </w:p>
    <w:p w14:paraId="0B86DEDD">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4.21</w:t>
      </w:r>
      <w:r>
        <w:rPr>
          <w:rFonts w:hint="eastAsia" w:ascii="宋体" w:hAnsi="宋体" w:eastAsia="宋体" w:cs="Times New Roman"/>
          <w:szCs w:val="21"/>
          <w:highlight w:val="none"/>
        </w:rPr>
        <w:t>乙方工程施工现场应严格落实徐圩新区扬尘管控“六个百分百”要求。</w:t>
      </w:r>
    </w:p>
    <w:p w14:paraId="32A81411">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4.22.</w:t>
      </w:r>
      <w:r>
        <w:rPr>
          <w:rFonts w:hint="eastAsia" w:ascii="宋体" w:hAnsi="宋体" w:eastAsia="宋体" w:cs="Times New Roman"/>
          <w:szCs w:val="21"/>
          <w:highlight w:val="none"/>
        </w:rPr>
        <w:t>乙方施工现场各种物料应按照施工平面图统一布置，分类码放整齐；物料存放场地应平整、夯实，有排水措施，不得影响现场施工和堵塞施工、消防通道。材料堆放场地应有专职的管理人员。</w:t>
      </w:r>
    </w:p>
    <w:p w14:paraId="298E1437">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4.23</w:t>
      </w:r>
      <w:r>
        <w:rPr>
          <w:rFonts w:hint="eastAsia" w:ascii="宋体" w:hAnsi="宋体" w:eastAsia="宋体" w:cs="Times New Roman"/>
          <w:szCs w:val="21"/>
          <w:highlight w:val="none"/>
        </w:rPr>
        <w:t>乙方应遵守所有适用于本合同的劳动法规及其他有关法律、法规、规章和规定中关于工人工资标准、劳动时间和劳动条件的规定，合理安排现场作业人员的劳动和休息时间，保障劳动者必须的休息时间，支付合理的报酬和费用。乙方应按有关行政管理部门的规定为本合同下雇佣的职员和工人办理任何必要的证件、许可、保险和注册等，并保障甲方免于因乙方不能依照或完全依照上述所有法律、法规、规章和规定等可能给甲方带来的任何处罚、索赔、损失和损害等。</w:t>
      </w:r>
    </w:p>
    <w:p w14:paraId="67220EEE">
      <w:pPr>
        <w:widowControl/>
        <w:spacing w:line="360" w:lineRule="auto"/>
        <w:ind w:firstLine="420" w:firstLineChars="200"/>
        <w:jc w:val="left"/>
        <w:rPr>
          <w:rFonts w:ascii="宋体" w:hAnsi="宋体" w:eastAsia="宋体" w:cs="Times New Roman"/>
          <w:szCs w:val="21"/>
          <w:highlight w:val="none"/>
        </w:rPr>
      </w:pPr>
      <w:r>
        <w:rPr>
          <w:rFonts w:ascii="宋体" w:hAnsi="宋体" w:eastAsia="宋体" w:cs="Times New Roman"/>
          <w:szCs w:val="21"/>
          <w:highlight w:val="none"/>
        </w:rPr>
        <w:t>4.24</w:t>
      </w:r>
      <w:r>
        <w:rPr>
          <w:rFonts w:hint="eastAsia" w:ascii="宋体" w:hAnsi="宋体" w:eastAsia="宋体" w:cs="Times New Roman"/>
          <w:szCs w:val="21"/>
          <w:highlight w:val="none"/>
        </w:rPr>
        <w:t>乙方应按照国家《中华人民共和国劳动法》的规定，保障现场施工人员的劳动安全。乙方应为本合同下雇佣的职员和工人提供适当和充分的劳动保护，包括但不限于安全防护、防寒、防雨、防尘、绝缘保护、常用药品、急救设备、传染病预防等。</w:t>
      </w:r>
    </w:p>
    <w:p w14:paraId="0257CB47">
      <w:pPr>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第六条</w:t>
      </w:r>
      <w:r>
        <w:rPr>
          <w:rFonts w:ascii="宋体" w:hAnsi="宋体" w:eastAsia="宋体" w:cs="Times New Roman"/>
          <w:b/>
          <w:szCs w:val="21"/>
          <w:highlight w:val="none"/>
        </w:rPr>
        <w:tab/>
      </w:r>
      <w:r>
        <w:rPr>
          <w:rFonts w:hint="eastAsia" w:ascii="宋体" w:hAnsi="宋体" w:eastAsia="宋体" w:cs="Times New Roman"/>
          <w:b/>
          <w:szCs w:val="21"/>
          <w:highlight w:val="none"/>
        </w:rPr>
        <w:t>违约责任</w:t>
      </w:r>
    </w:p>
    <w:p w14:paraId="0B64180E">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乙方应认真履行本协议约定的安全生产、文明施工、治安保卫、消防管理等工作内容。由于乙方的过错使本协议不能履行、不能完全履行、延迟履行或者履行不符合约定条件的，由乙方承担全部责任，按对应条款标准支付违约赔偿金，如不能弥补甲方实际损失，乙方对甲方实际损失负补足责任。具体违约索赔如下：</w:t>
      </w:r>
    </w:p>
    <w:tbl>
      <w:tblPr>
        <w:tblStyle w:val="4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5868"/>
        <w:gridCol w:w="2242"/>
      </w:tblGrid>
      <w:tr w14:paraId="4759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22" w:type="pct"/>
            <w:vAlign w:val="center"/>
          </w:tcPr>
          <w:p w14:paraId="422A4FF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3240" w:type="pct"/>
            <w:vAlign w:val="center"/>
          </w:tcPr>
          <w:p w14:paraId="2D4C411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szCs w:val="21"/>
                <w:highlight w:val="none"/>
              </w:rPr>
            </w:pPr>
            <w:r>
              <w:rPr>
                <w:rFonts w:hint="eastAsia" w:ascii="宋体" w:hAnsi="宋体" w:eastAsia="宋体" w:cs="Times New Roman"/>
                <w:b/>
                <w:bCs/>
                <w:szCs w:val="21"/>
                <w:highlight w:val="none"/>
              </w:rPr>
              <w:t>违约情形</w:t>
            </w:r>
          </w:p>
        </w:tc>
        <w:tc>
          <w:tcPr>
            <w:tcW w:w="1236" w:type="pct"/>
            <w:vAlign w:val="center"/>
          </w:tcPr>
          <w:p w14:paraId="5732F81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szCs w:val="21"/>
                <w:highlight w:val="none"/>
              </w:rPr>
            </w:pPr>
            <w:r>
              <w:rPr>
                <w:rFonts w:hint="eastAsia" w:ascii="宋体" w:hAnsi="宋体" w:eastAsia="宋体" w:cs="Times New Roman"/>
                <w:b/>
                <w:bCs/>
                <w:szCs w:val="21"/>
                <w:highlight w:val="none"/>
              </w:rPr>
              <w:t>支付违约金额</w:t>
            </w:r>
          </w:p>
        </w:tc>
      </w:tr>
      <w:tr w14:paraId="2615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270CFC5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一、管理行为违约</w:t>
            </w:r>
          </w:p>
        </w:tc>
      </w:tr>
      <w:tr w14:paraId="6930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bottom w:val="single" w:color="auto" w:sz="4" w:space="0"/>
            </w:tcBorders>
            <w:vAlign w:val="center"/>
          </w:tcPr>
          <w:p w14:paraId="7FEFDDF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bottom w:val="single" w:color="auto" w:sz="4" w:space="0"/>
            </w:tcBorders>
            <w:vAlign w:val="center"/>
          </w:tcPr>
          <w:p w14:paraId="404B184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cs="Times New Roman"/>
                <w:szCs w:val="21"/>
                <w:highlight w:val="none"/>
                <w:lang w:val="en-US" w:eastAsia="zh-CN"/>
              </w:rPr>
              <w:t>乙方</w:t>
            </w:r>
            <w:r>
              <w:rPr>
                <w:rFonts w:ascii="宋体" w:hAnsi="宋体" w:eastAsia="宋体" w:cs="Times New Roman"/>
                <w:szCs w:val="21"/>
                <w:highlight w:val="none"/>
              </w:rPr>
              <w:t>单位</w:t>
            </w:r>
            <w:r>
              <w:rPr>
                <w:rFonts w:hint="eastAsia" w:ascii="宋体" w:hAnsi="宋体" w:eastAsia="宋体" w:cs="Times New Roman"/>
                <w:szCs w:val="21"/>
                <w:highlight w:val="none"/>
              </w:rPr>
              <w:t>提供虚假资质</w:t>
            </w:r>
          </w:p>
        </w:tc>
        <w:tc>
          <w:tcPr>
            <w:tcW w:w="1236" w:type="pct"/>
            <w:tcBorders>
              <w:bottom w:val="single" w:color="auto" w:sz="4" w:space="0"/>
            </w:tcBorders>
            <w:vAlign w:val="center"/>
          </w:tcPr>
          <w:p w14:paraId="2CDE08B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责令停止作业、终止</w:t>
            </w:r>
            <w:r>
              <w:rPr>
                <w:rFonts w:hint="eastAsia" w:ascii="宋体" w:hAnsi="宋体" w:eastAsia="宋体" w:cs="Times New Roman"/>
                <w:szCs w:val="21"/>
                <w:highlight w:val="none"/>
              </w:rPr>
              <w:t>分包</w:t>
            </w:r>
            <w:r>
              <w:rPr>
                <w:rFonts w:ascii="宋体" w:hAnsi="宋体" w:eastAsia="宋体" w:cs="Times New Roman"/>
                <w:szCs w:val="21"/>
                <w:highlight w:val="none"/>
              </w:rPr>
              <w:t>合同，并</w:t>
            </w:r>
            <w:r>
              <w:rPr>
                <w:rFonts w:hint="eastAsia" w:ascii="宋体" w:hAnsi="宋体" w:eastAsia="宋体" w:cs="Times New Roman"/>
                <w:szCs w:val="21"/>
                <w:highlight w:val="none"/>
              </w:rPr>
              <w:t>按</w:t>
            </w:r>
            <w:r>
              <w:rPr>
                <w:rFonts w:ascii="宋体" w:hAnsi="宋体" w:eastAsia="宋体" w:cs="Times New Roman"/>
                <w:szCs w:val="21"/>
                <w:highlight w:val="none"/>
              </w:rPr>
              <w:t>5000元</w:t>
            </w:r>
            <w:r>
              <w:rPr>
                <w:rFonts w:hint="eastAsia" w:ascii="宋体" w:hAnsi="宋体" w:eastAsia="宋体" w:cs="Times New Roman"/>
                <w:szCs w:val="21"/>
                <w:highlight w:val="none"/>
              </w:rPr>
              <w:t>/起支付违约金</w:t>
            </w:r>
          </w:p>
        </w:tc>
      </w:tr>
      <w:tr w14:paraId="3DF5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left w:val="single" w:color="auto" w:sz="4" w:space="0"/>
              <w:bottom w:val="single" w:color="auto" w:sz="4" w:space="0"/>
              <w:right w:val="single" w:color="auto" w:sz="4" w:space="0"/>
            </w:tcBorders>
            <w:vAlign w:val="center"/>
          </w:tcPr>
          <w:p w14:paraId="7517DE3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left w:val="single" w:color="auto" w:sz="4" w:space="0"/>
              <w:bottom w:val="single" w:color="auto" w:sz="4" w:space="0"/>
              <w:right w:val="single" w:color="auto" w:sz="4" w:space="0"/>
            </w:tcBorders>
            <w:vAlign w:val="center"/>
          </w:tcPr>
          <w:p w14:paraId="66503FF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招录和使用60周岁以上男性、50周岁以上女性从事建筑施工现场“高空、高危、高风险、重体力”一线作业活动的</w:t>
            </w:r>
          </w:p>
        </w:tc>
        <w:tc>
          <w:tcPr>
            <w:tcW w:w="1236" w:type="pct"/>
            <w:tcBorders>
              <w:top w:val="single" w:color="auto" w:sz="4" w:space="0"/>
              <w:left w:val="single" w:color="auto" w:sz="4" w:space="0"/>
              <w:bottom w:val="single" w:color="auto" w:sz="4" w:space="0"/>
              <w:right w:val="single" w:color="auto" w:sz="4" w:space="0"/>
            </w:tcBorders>
            <w:vAlign w:val="center"/>
          </w:tcPr>
          <w:p w14:paraId="73F8000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2000元/人，并将相应人员清场</w:t>
            </w:r>
          </w:p>
        </w:tc>
      </w:tr>
      <w:tr w14:paraId="2C12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left w:val="single" w:color="auto" w:sz="4" w:space="0"/>
              <w:bottom w:val="single" w:color="auto" w:sz="4" w:space="0"/>
              <w:right w:val="single" w:color="auto" w:sz="4" w:space="0"/>
            </w:tcBorders>
            <w:vAlign w:val="center"/>
          </w:tcPr>
          <w:p w14:paraId="4B7E48F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left w:val="single" w:color="auto" w:sz="4" w:space="0"/>
              <w:bottom w:val="single" w:color="auto" w:sz="4" w:space="0"/>
              <w:right w:val="single" w:color="auto" w:sz="4" w:space="0"/>
            </w:tcBorders>
            <w:vAlign w:val="center"/>
          </w:tcPr>
          <w:p w14:paraId="0CE991D9">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施工方案和安全措施未向全体施工人员交底，未经双方签字确认</w:t>
            </w:r>
          </w:p>
        </w:tc>
        <w:tc>
          <w:tcPr>
            <w:tcW w:w="1236" w:type="pct"/>
            <w:tcBorders>
              <w:top w:val="single" w:color="auto" w:sz="4" w:space="0"/>
              <w:left w:val="single" w:color="auto" w:sz="4" w:space="0"/>
              <w:bottom w:val="single" w:color="auto" w:sz="4" w:space="0"/>
              <w:right w:val="single" w:color="auto" w:sz="4" w:space="0"/>
            </w:tcBorders>
            <w:vAlign w:val="center"/>
          </w:tcPr>
          <w:p w14:paraId="103DD0E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1000元/起</w:t>
            </w:r>
          </w:p>
        </w:tc>
      </w:tr>
      <w:tr w14:paraId="451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left w:val="single" w:color="auto" w:sz="4" w:space="0"/>
              <w:bottom w:val="single" w:color="auto" w:sz="4" w:space="0"/>
              <w:right w:val="single" w:color="auto" w:sz="4" w:space="0"/>
            </w:tcBorders>
            <w:vAlign w:val="center"/>
          </w:tcPr>
          <w:p w14:paraId="53B62C0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left w:val="single" w:color="auto" w:sz="4" w:space="0"/>
              <w:bottom w:val="single" w:color="auto" w:sz="4" w:space="0"/>
              <w:right w:val="single" w:color="auto" w:sz="4" w:space="0"/>
            </w:tcBorders>
            <w:vAlign w:val="center"/>
          </w:tcPr>
          <w:p w14:paraId="00C676C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未按要求配备项目专（兼）职安全管理人员的</w:t>
            </w:r>
          </w:p>
        </w:tc>
        <w:tc>
          <w:tcPr>
            <w:tcW w:w="1236" w:type="pct"/>
            <w:tcBorders>
              <w:top w:val="single" w:color="auto" w:sz="4" w:space="0"/>
              <w:left w:val="single" w:color="auto" w:sz="4" w:space="0"/>
              <w:bottom w:val="single" w:color="auto" w:sz="4" w:space="0"/>
              <w:right w:val="single" w:color="auto" w:sz="4" w:space="0"/>
            </w:tcBorders>
            <w:vAlign w:val="center"/>
          </w:tcPr>
          <w:p w14:paraId="51D7B8E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5000元</w:t>
            </w:r>
          </w:p>
        </w:tc>
      </w:tr>
      <w:tr w14:paraId="6E04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left w:val="single" w:color="auto" w:sz="4" w:space="0"/>
              <w:bottom w:val="single" w:color="auto" w:sz="4" w:space="0"/>
              <w:right w:val="single" w:color="auto" w:sz="4" w:space="0"/>
            </w:tcBorders>
            <w:vAlign w:val="center"/>
          </w:tcPr>
          <w:p w14:paraId="5ADE47C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left w:val="single" w:color="auto" w:sz="4" w:space="0"/>
              <w:bottom w:val="single" w:color="auto" w:sz="4" w:space="0"/>
              <w:right w:val="single" w:color="auto" w:sz="4" w:space="0"/>
            </w:tcBorders>
            <w:vAlign w:val="center"/>
          </w:tcPr>
          <w:p w14:paraId="7CB7CFC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未严格执行工作票、操作票、安全施工作业票、动火工作票等制度和措施</w:t>
            </w:r>
          </w:p>
        </w:tc>
        <w:tc>
          <w:tcPr>
            <w:tcW w:w="1236" w:type="pct"/>
            <w:tcBorders>
              <w:top w:val="single" w:color="auto" w:sz="4" w:space="0"/>
              <w:left w:val="single" w:color="auto" w:sz="4" w:space="0"/>
              <w:bottom w:val="single" w:color="auto" w:sz="4" w:space="0"/>
              <w:right w:val="single" w:color="auto" w:sz="4" w:space="0"/>
            </w:tcBorders>
            <w:vAlign w:val="center"/>
          </w:tcPr>
          <w:p w14:paraId="2B44E73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5000元/起</w:t>
            </w:r>
          </w:p>
        </w:tc>
      </w:tr>
      <w:tr w14:paraId="6787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317AEA7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385F31E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未按规定定期对施工现场作业人员的行为规范和安全措施的落实情况进行监督检查和安全巡视</w:t>
            </w:r>
          </w:p>
        </w:tc>
        <w:tc>
          <w:tcPr>
            <w:tcW w:w="1236" w:type="pct"/>
            <w:tcBorders>
              <w:top w:val="single" w:color="auto" w:sz="4" w:space="0"/>
              <w:bottom w:val="single" w:color="auto" w:sz="4" w:space="0"/>
            </w:tcBorders>
            <w:vAlign w:val="center"/>
          </w:tcPr>
          <w:p w14:paraId="1FA39D3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2000元/起</w:t>
            </w:r>
          </w:p>
        </w:tc>
      </w:tr>
      <w:tr w14:paraId="437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013D09D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0DDF687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不配合安全检查（包括建设单位、监理单位和主管部门对工程项目的检查）</w:t>
            </w:r>
          </w:p>
        </w:tc>
        <w:tc>
          <w:tcPr>
            <w:tcW w:w="1236" w:type="pct"/>
            <w:tcBorders>
              <w:top w:val="single" w:color="auto" w:sz="4" w:space="0"/>
              <w:bottom w:val="single" w:color="auto" w:sz="4" w:space="0"/>
            </w:tcBorders>
            <w:vAlign w:val="center"/>
          </w:tcPr>
          <w:p w14:paraId="02028E1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5000元/起</w:t>
            </w:r>
          </w:p>
        </w:tc>
      </w:tr>
      <w:tr w14:paraId="7D03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222430F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5537D3B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对存在问题超期不落实整改</w:t>
            </w:r>
          </w:p>
        </w:tc>
        <w:tc>
          <w:tcPr>
            <w:tcW w:w="1236" w:type="pct"/>
            <w:tcBorders>
              <w:top w:val="single" w:color="auto" w:sz="4" w:space="0"/>
              <w:bottom w:val="single" w:color="auto" w:sz="4" w:space="0"/>
            </w:tcBorders>
            <w:vAlign w:val="center"/>
          </w:tcPr>
          <w:p w14:paraId="5AF1722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1000元/项</w:t>
            </w:r>
          </w:p>
        </w:tc>
      </w:tr>
      <w:tr w14:paraId="1EC7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55029BB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1223125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分包单位责任范围内现场隐患问题重复性发生</w:t>
            </w:r>
          </w:p>
        </w:tc>
        <w:tc>
          <w:tcPr>
            <w:tcW w:w="1236" w:type="pct"/>
            <w:tcBorders>
              <w:top w:val="single" w:color="auto" w:sz="4" w:space="0"/>
              <w:bottom w:val="single" w:color="auto" w:sz="4" w:space="0"/>
            </w:tcBorders>
            <w:vAlign w:val="center"/>
          </w:tcPr>
          <w:p w14:paraId="4514BCA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2000元/项</w:t>
            </w:r>
          </w:p>
        </w:tc>
      </w:tr>
      <w:tr w14:paraId="6619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367FD61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575A8B3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未建立完善相关安全记录台帐</w:t>
            </w:r>
          </w:p>
        </w:tc>
        <w:tc>
          <w:tcPr>
            <w:tcW w:w="1236" w:type="pct"/>
            <w:tcBorders>
              <w:top w:val="single" w:color="auto" w:sz="4" w:space="0"/>
              <w:bottom w:val="single" w:color="auto" w:sz="4" w:space="0"/>
            </w:tcBorders>
            <w:vAlign w:val="center"/>
          </w:tcPr>
          <w:p w14:paraId="2A662AB1">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2000元/起</w:t>
            </w:r>
          </w:p>
        </w:tc>
      </w:tr>
      <w:tr w14:paraId="0194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48F5973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2BB53F0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无故迟到或缺席安全会议</w:t>
            </w:r>
          </w:p>
        </w:tc>
        <w:tc>
          <w:tcPr>
            <w:tcW w:w="1236" w:type="pct"/>
            <w:tcBorders>
              <w:top w:val="single" w:color="auto" w:sz="4" w:space="0"/>
              <w:bottom w:val="single" w:color="auto" w:sz="4" w:space="0"/>
            </w:tcBorders>
            <w:vAlign w:val="center"/>
          </w:tcPr>
          <w:p w14:paraId="384C093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w:t>
            </w:r>
            <w:r>
              <w:rPr>
                <w:rFonts w:ascii="宋体" w:hAnsi="宋体" w:eastAsia="宋体" w:cs="Times New Roman"/>
                <w:szCs w:val="21"/>
                <w:highlight w:val="none"/>
              </w:rPr>
              <w:t>00元</w:t>
            </w:r>
            <w:r>
              <w:rPr>
                <w:rFonts w:hint="eastAsia" w:ascii="宋体" w:hAnsi="宋体" w:eastAsia="宋体" w:cs="Times New Roman"/>
                <w:szCs w:val="21"/>
                <w:highlight w:val="none"/>
              </w:rPr>
              <w:t>/人</w:t>
            </w:r>
          </w:p>
        </w:tc>
      </w:tr>
      <w:tr w14:paraId="254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11488A6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4F331C7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未进行施工人员的入场三级安全教育并考核合格</w:t>
            </w:r>
          </w:p>
        </w:tc>
        <w:tc>
          <w:tcPr>
            <w:tcW w:w="1236" w:type="pct"/>
            <w:tcBorders>
              <w:top w:val="single" w:color="auto" w:sz="4" w:space="0"/>
              <w:bottom w:val="single" w:color="auto" w:sz="4" w:space="0"/>
            </w:tcBorders>
            <w:vAlign w:val="center"/>
          </w:tcPr>
          <w:p w14:paraId="48F4877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1000元/人</w:t>
            </w:r>
          </w:p>
        </w:tc>
      </w:tr>
      <w:tr w14:paraId="740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44987EC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1BEFF3F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特种作业人员未持有效证件上岗或超有效期</w:t>
            </w:r>
          </w:p>
        </w:tc>
        <w:tc>
          <w:tcPr>
            <w:tcW w:w="1236" w:type="pct"/>
            <w:tcBorders>
              <w:top w:val="single" w:color="auto" w:sz="4" w:space="0"/>
              <w:bottom w:val="single" w:color="auto" w:sz="4" w:space="0"/>
            </w:tcBorders>
            <w:vAlign w:val="center"/>
          </w:tcPr>
          <w:p w14:paraId="3E68063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2000元/人</w:t>
            </w:r>
          </w:p>
        </w:tc>
      </w:tr>
      <w:tr w14:paraId="4572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392A423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72EFDE71">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未按照国家规定为施工人员办理人身意外保险（工伤保险）</w:t>
            </w:r>
          </w:p>
        </w:tc>
        <w:tc>
          <w:tcPr>
            <w:tcW w:w="1236" w:type="pct"/>
            <w:tcBorders>
              <w:top w:val="single" w:color="auto" w:sz="4" w:space="0"/>
              <w:bottom w:val="single" w:color="auto" w:sz="4" w:space="0"/>
            </w:tcBorders>
            <w:vAlign w:val="center"/>
          </w:tcPr>
          <w:p w14:paraId="1FEB8B3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1000元/人</w:t>
            </w:r>
          </w:p>
        </w:tc>
      </w:tr>
      <w:tr w14:paraId="5A57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215228D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6F1BFF1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对发现的装置性违章不闻不问，不组织消除</w:t>
            </w:r>
          </w:p>
        </w:tc>
        <w:tc>
          <w:tcPr>
            <w:tcW w:w="1236" w:type="pct"/>
            <w:tcBorders>
              <w:top w:val="single" w:color="auto" w:sz="4" w:space="0"/>
              <w:bottom w:val="single" w:color="auto" w:sz="4" w:space="0"/>
            </w:tcBorders>
            <w:vAlign w:val="center"/>
          </w:tcPr>
          <w:p w14:paraId="79E5CC4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1000元/次</w:t>
            </w:r>
          </w:p>
        </w:tc>
      </w:tr>
      <w:tr w14:paraId="66B1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14E1CC4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49FF7AC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使用劳务作业人员不符合国家和地方的有关用工规定</w:t>
            </w:r>
          </w:p>
        </w:tc>
        <w:tc>
          <w:tcPr>
            <w:tcW w:w="1236" w:type="pct"/>
            <w:tcBorders>
              <w:top w:val="single" w:color="auto" w:sz="4" w:space="0"/>
              <w:bottom w:val="single" w:color="auto" w:sz="4" w:space="0"/>
            </w:tcBorders>
            <w:vAlign w:val="center"/>
          </w:tcPr>
          <w:p w14:paraId="4D13C1F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2000元/人</w:t>
            </w:r>
          </w:p>
        </w:tc>
      </w:tr>
      <w:tr w14:paraId="2B49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735EAB6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60557D1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未按规定配备具备相应的任职资格的专职安全员</w:t>
            </w:r>
          </w:p>
        </w:tc>
        <w:tc>
          <w:tcPr>
            <w:tcW w:w="1236" w:type="pct"/>
            <w:tcBorders>
              <w:top w:val="single" w:color="auto" w:sz="4" w:space="0"/>
              <w:bottom w:val="single" w:color="auto" w:sz="4" w:space="0"/>
            </w:tcBorders>
            <w:vAlign w:val="center"/>
          </w:tcPr>
          <w:p w14:paraId="7AEC1E5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3000元/人</w:t>
            </w:r>
          </w:p>
        </w:tc>
      </w:tr>
      <w:tr w14:paraId="1946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21409AA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47CE15D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项目专职安全</w:t>
            </w:r>
            <w:r>
              <w:rPr>
                <w:rFonts w:hint="eastAsia" w:ascii="宋体" w:hAnsi="宋体" w:eastAsia="宋体" w:cs="Times New Roman"/>
                <w:szCs w:val="21"/>
                <w:highlight w:val="none"/>
              </w:rPr>
              <w:t>管理人</w:t>
            </w:r>
            <w:r>
              <w:rPr>
                <w:rFonts w:ascii="宋体" w:hAnsi="宋体" w:eastAsia="宋体" w:cs="Times New Roman"/>
                <w:szCs w:val="21"/>
                <w:highlight w:val="none"/>
              </w:rPr>
              <w:t>员</w:t>
            </w:r>
            <w:r>
              <w:rPr>
                <w:rFonts w:hint="eastAsia" w:ascii="宋体" w:hAnsi="宋体" w:eastAsia="宋体" w:cs="Times New Roman"/>
                <w:szCs w:val="21"/>
                <w:highlight w:val="none"/>
              </w:rPr>
              <w:t>未</w:t>
            </w:r>
            <w:r>
              <w:rPr>
                <w:rFonts w:ascii="宋体" w:hAnsi="宋体" w:eastAsia="宋体" w:cs="Times New Roman"/>
                <w:szCs w:val="21"/>
                <w:highlight w:val="none"/>
              </w:rPr>
              <w:t>对专项施工方案实施情况进行现场监督</w:t>
            </w:r>
          </w:p>
        </w:tc>
        <w:tc>
          <w:tcPr>
            <w:tcW w:w="1236" w:type="pct"/>
            <w:tcBorders>
              <w:top w:val="single" w:color="auto" w:sz="4" w:space="0"/>
              <w:bottom w:val="single" w:color="auto" w:sz="4" w:space="0"/>
            </w:tcBorders>
            <w:vAlign w:val="center"/>
          </w:tcPr>
          <w:p w14:paraId="2126DD4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1000/人次</w:t>
            </w:r>
          </w:p>
        </w:tc>
      </w:tr>
      <w:tr w14:paraId="1A4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652DAF1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07181FA9">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使用不符合资格要求的</w:t>
            </w:r>
            <w:r>
              <w:rPr>
                <w:rFonts w:hint="eastAsia" w:ascii="宋体" w:hAnsi="宋体" w:eastAsia="宋体" w:cs="Times New Roman"/>
                <w:szCs w:val="21"/>
                <w:highlight w:val="none"/>
              </w:rPr>
              <w:t>分包劳务</w:t>
            </w:r>
            <w:r>
              <w:rPr>
                <w:rFonts w:ascii="宋体" w:hAnsi="宋体" w:eastAsia="宋体" w:cs="Times New Roman"/>
                <w:szCs w:val="21"/>
                <w:highlight w:val="none"/>
              </w:rPr>
              <w:t>人员</w:t>
            </w:r>
          </w:p>
        </w:tc>
        <w:tc>
          <w:tcPr>
            <w:tcW w:w="1236" w:type="pct"/>
            <w:tcBorders>
              <w:top w:val="single" w:color="auto" w:sz="4" w:space="0"/>
              <w:bottom w:val="single" w:color="auto" w:sz="4" w:space="0"/>
            </w:tcBorders>
            <w:vAlign w:val="center"/>
          </w:tcPr>
          <w:p w14:paraId="62C410F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/人</w:t>
            </w:r>
          </w:p>
        </w:tc>
      </w:tr>
      <w:tr w14:paraId="21B9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4CA8BC5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1C641FE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起重、电动工器具未定期检查检测</w:t>
            </w:r>
          </w:p>
        </w:tc>
        <w:tc>
          <w:tcPr>
            <w:tcW w:w="1236" w:type="pct"/>
            <w:tcBorders>
              <w:top w:val="single" w:color="auto" w:sz="4" w:space="0"/>
              <w:bottom w:val="single" w:color="auto" w:sz="4" w:space="0"/>
            </w:tcBorders>
            <w:vAlign w:val="center"/>
          </w:tcPr>
          <w:p w14:paraId="51F5ED6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1000元/起</w:t>
            </w:r>
          </w:p>
        </w:tc>
      </w:tr>
      <w:tr w14:paraId="062A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bottom w:val="single" w:color="auto" w:sz="4" w:space="0"/>
            </w:tcBorders>
            <w:vAlign w:val="center"/>
          </w:tcPr>
          <w:p w14:paraId="07628B9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bottom w:val="single" w:color="auto" w:sz="4" w:space="0"/>
            </w:tcBorders>
            <w:vAlign w:val="center"/>
          </w:tcPr>
          <w:p w14:paraId="0C16439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交叉作业时未采取相应的隔离和错时施工等安全措施</w:t>
            </w:r>
            <w:r>
              <w:rPr>
                <w:rFonts w:hint="eastAsia" w:ascii="宋体" w:hAnsi="宋体" w:eastAsia="宋体" w:cs="Times New Roman"/>
                <w:szCs w:val="21"/>
                <w:highlight w:val="none"/>
              </w:rPr>
              <w:t>，并签订安全管理协议</w:t>
            </w:r>
          </w:p>
        </w:tc>
        <w:tc>
          <w:tcPr>
            <w:tcW w:w="1236" w:type="pct"/>
            <w:tcBorders>
              <w:top w:val="single" w:color="auto" w:sz="4" w:space="0"/>
              <w:bottom w:val="single" w:color="auto" w:sz="4" w:space="0"/>
            </w:tcBorders>
            <w:vAlign w:val="center"/>
          </w:tcPr>
          <w:p w14:paraId="041FAA2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2000元/处</w:t>
            </w:r>
          </w:p>
        </w:tc>
      </w:tr>
      <w:tr w14:paraId="2656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top w:val="single" w:color="auto" w:sz="4" w:space="0"/>
            </w:tcBorders>
            <w:vAlign w:val="center"/>
          </w:tcPr>
          <w:p w14:paraId="6B81BA2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top w:val="single" w:color="auto" w:sz="4" w:space="0"/>
            </w:tcBorders>
            <w:vAlign w:val="center"/>
          </w:tcPr>
          <w:p w14:paraId="112590D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施工中可能影响其他施工作业人员或设备的安全时，未向甲方提出相应要求</w:t>
            </w:r>
          </w:p>
        </w:tc>
        <w:tc>
          <w:tcPr>
            <w:tcW w:w="1236" w:type="pct"/>
            <w:tcBorders>
              <w:top w:val="single" w:color="auto" w:sz="4" w:space="0"/>
            </w:tcBorders>
            <w:vAlign w:val="center"/>
          </w:tcPr>
          <w:p w14:paraId="01368C4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1000元/起</w:t>
            </w:r>
          </w:p>
        </w:tc>
      </w:tr>
      <w:tr w14:paraId="48D1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AA3233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C74190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安排或默认在六级以上大风或恶劣天气情况下进行高处露天作业，或在霜冻、雨雪天气进行高处作业且无防滑、跌措施</w:t>
            </w:r>
          </w:p>
        </w:tc>
        <w:tc>
          <w:tcPr>
            <w:tcW w:w="1236" w:type="pct"/>
            <w:vAlign w:val="center"/>
          </w:tcPr>
          <w:p w14:paraId="215C2C1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2000元/起</w:t>
            </w:r>
          </w:p>
        </w:tc>
      </w:tr>
      <w:tr w14:paraId="70B6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1F43D5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41F23D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未积极配合甲方关于安全生产管理而提出的文件材料上报、会议、培训、活动等通知要求</w:t>
            </w:r>
          </w:p>
        </w:tc>
        <w:tc>
          <w:tcPr>
            <w:tcW w:w="1236" w:type="pct"/>
            <w:vAlign w:val="center"/>
          </w:tcPr>
          <w:p w14:paraId="6581DA41">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1000元/次</w:t>
            </w:r>
          </w:p>
        </w:tc>
      </w:tr>
      <w:tr w14:paraId="364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3C9E1D7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二、安全条件违约</w:t>
            </w:r>
          </w:p>
        </w:tc>
      </w:tr>
      <w:tr w14:paraId="75BC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bottom w:val="nil"/>
            </w:tcBorders>
            <w:vAlign w:val="center"/>
          </w:tcPr>
          <w:p w14:paraId="55BF599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bottom w:val="nil"/>
            </w:tcBorders>
            <w:vAlign w:val="center"/>
          </w:tcPr>
          <w:p w14:paraId="42FE31B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未经甲方同意，擅自拆除</w:t>
            </w:r>
            <w:r>
              <w:rPr>
                <w:rFonts w:hint="eastAsia" w:ascii="宋体" w:hAnsi="宋体" w:eastAsia="宋体" w:cs="Times New Roman"/>
                <w:szCs w:val="21"/>
                <w:highlight w:val="none"/>
              </w:rPr>
              <w:t>和</w:t>
            </w:r>
            <w:r>
              <w:rPr>
                <w:rFonts w:ascii="宋体" w:hAnsi="宋体" w:eastAsia="宋体" w:cs="Times New Roman"/>
                <w:szCs w:val="21"/>
                <w:highlight w:val="none"/>
              </w:rPr>
              <w:t>变动安全、文明施工、</w:t>
            </w:r>
            <w:r>
              <w:rPr>
                <w:rFonts w:hint="eastAsia" w:ascii="宋体" w:hAnsi="宋体" w:eastAsia="宋体" w:cs="Times New Roman"/>
                <w:szCs w:val="21"/>
                <w:highlight w:val="none"/>
              </w:rPr>
              <w:t>消防、</w:t>
            </w:r>
            <w:r>
              <w:rPr>
                <w:rFonts w:ascii="宋体" w:hAnsi="宋体" w:eastAsia="宋体" w:cs="Times New Roman"/>
                <w:szCs w:val="21"/>
                <w:highlight w:val="none"/>
              </w:rPr>
              <w:t>环保</w:t>
            </w:r>
            <w:r>
              <w:rPr>
                <w:rFonts w:hint="eastAsia" w:ascii="宋体" w:hAnsi="宋体" w:eastAsia="宋体" w:cs="Times New Roman"/>
                <w:szCs w:val="21"/>
                <w:highlight w:val="none"/>
              </w:rPr>
              <w:t>等</w:t>
            </w:r>
            <w:r>
              <w:rPr>
                <w:rFonts w:ascii="宋体" w:hAnsi="宋体" w:eastAsia="宋体" w:cs="Times New Roman"/>
                <w:szCs w:val="21"/>
                <w:highlight w:val="none"/>
              </w:rPr>
              <w:t>设施</w:t>
            </w:r>
            <w:r>
              <w:rPr>
                <w:rFonts w:hint="eastAsia" w:ascii="宋体" w:hAnsi="宋体" w:eastAsia="宋体" w:cs="Times New Roman"/>
                <w:szCs w:val="21"/>
                <w:highlight w:val="none"/>
              </w:rPr>
              <w:t>以及</w:t>
            </w:r>
            <w:r>
              <w:rPr>
                <w:rFonts w:ascii="宋体" w:hAnsi="宋体" w:eastAsia="宋体" w:cs="Times New Roman"/>
                <w:szCs w:val="21"/>
                <w:highlight w:val="none"/>
              </w:rPr>
              <w:t>安全标识标牌等</w:t>
            </w:r>
            <w:r>
              <w:rPr>
                <w:rFonts w:hint="eastAsia" w:ascii="宋体" w:hAnsi="宋体" w:eastAsia="宋体" w:cs="Times New Roman"/>
                <w:szCs w:val="21"/>
                <w:highlight w:val="none"/>
              </w:rPr>
              <w:t>，或未按要求安装的</w:t>
            </w:r>
          </w:p>
        </w:tc>
        <w:tc>
          <w:tcPr>
            <w:tcW w:w="1236" w:type="pct"/>
            <w:tcBorders>
              <w:bottom w:val="nil"/>
            </w:tcBorders>
            <w:vAlign w:val="center"/>
          </w:tcPr>
          <w:p w14:paraId="44B259E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w:t>
            </w:r>
            <w:r>
              <w:rPr>
                <w:rFonts w:ascii="宋体" w:hAnsi="宋体" w:eastAsia="宋体" w:cs="Times New Roman"/>
                <w:szCs w:val="21"/>
                <w:highlight w:val="none"/>
              </w:rPr>
              <w:t>元</w:t>
            </w:r>
            <w:r>
              <w:rPr>
                <w:rFonts w:hint="eastAsia" w:ascii="宋体" w:hAnsi="宋体" w:eastAsia="宋体" w:cs="Times New Roman"/>
                <w:szCs w:val="21"/>
                <w:highlight w:val="none"/>
              </w:rPr>
              <w:t>/起</w:t>
            </w:r>
          </w:p>
        </w:tc>
      </w:tr>
      <w:tr w14:paraId="43C2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7B39F7E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4C1253D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高处作业、吊装作业、临边和孔洞作业未设置相应作业平台、上下通道、防坠装置、安全网等的安全措施，未做好孔洞盖板、临边围栏的安全措施</w:t>
            </w:r>
          </w:p>
        </w:tc>
        <w:tc>
          <w:tcPr>
            <w:tcW w:w="1236" w:type="pct"/>
            <w:vAlign w:val="center"/>
          </w:tcPr>
          <w:p w14:paraId="302C678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/处</w:t>
            </w:r>
          </w:p>
        </w:tc>
      </w:tr>
      <w:tr w14:paraId="5880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A08EF4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4F4332F1">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现场施工临时用电作业及用电设施不符合《施工现场临时用电安全技术规范》</w:t>
            </w:r>
            <w:r>
              <w:rPr>
                <w:rFonts w:hint="eastAsia" w:ascii="宋体" w:hAnsi="宋体" w:eastAsia="宋体" w:cs="Times New Roman"/>
                <w:szCs w:val="21"/>
                <w:highlight w:val="none"/>
              </w:rPr>
              <w:t>，不按临时用电方案布置，</w:t>
            </w:r>
            <w:r>
              <w:rPr>
                <w:rFonts w:ascii="宋体" w:hAnsi="宋体" w:eastAsia="宋体" w:cs="Times New Roman"/>
                <w:szCs w:val="21"/>
                <w:highlight w:val="none"/>
              </w:rPr>
              <w:t>作业现场、生活区乱接、乱拉电源线</w:t>
            </w:r>
          </w:p>
        </w:tc>
        <w:tc>
          <w:tcPr>
            <w:tcW w:w="1236" w:type="pct"/>
            <w:vAlign w:val="center"/>
          </w:tcPr>
          <w:p w14:paraId="6E819AD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w:t>
            </w:r>
            <w:r>
              <w:rPr>
                <w:rFonts w:ascii="宋体" w:hAnsi="宋体" w:eastAsia="宋体" w:cs="Times New Roman"/>
                <w:szCs w:val="21"/>
                <w:highlight w:val="none"/>
              </w:rPr>
              <w:t>元</w:t>
            </w:r>
            <w:r>
              <w:rPr>
                <w:rFonts w:hint="eastAsia" w:ascii="宋体" w:hAnsi="宋体" w:eastAsia="宋体" w:cs="Times New Roman"/>
                <w:szCs w:val="21"/>
                <w:highlight w:val="none"/>
              </w:rPr>
              <w:t>/次</w:t>
            </w:r>
          </w:p>
        </w:tc>
      </w:tr>
      <w:tr w14:paraId="6E24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bottom w:val="nil"/>
            </w:tcBorders>
            <w:vAlign w:val="center"/>
          </w:tcPr>
          <w:p w14:paraId="4DA1144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bottom w:val="nil"/>
            </w:tcBorders>
            <w:vAlign w:val="center"/>
          </w:tcPr>
          <w:p w14:paraId="1F7AD0E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电焊线、气焊软管、电源线不集中布置，走向混乱</w:t>
            </w:r>
          </w:p>
        </w:tc>
        <w:tc>
          <w:tcPr>
            <w:tcW w:w="1236" w:type="pct"/>
            <w:tcBorders>
              <w:bottom w:val="nil"/>
            </w:tcBorders>
            <w:vAlign w:val="center"/>
          </w:tcPr>
          <w:p w14:paraId="67FA740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w:t>
            </w:r>
            <w:r>
              <w:rPr>
                <w:rFonts w:ascii="宋体" w:hAnsi="宋体" w:eastAsia="宋体" w:cs="Times New Roman"/>
                <w:szCs w:val="21"/>
                <w:highlight w:val="none"/>
              </w:rPr>
              <w:t>元</w:t>
            </w:r>
            <w:r>
              <w:rPr>
                <w:rFonts w:hint="eastAsia" w:ascii="宋体" w:hAnsi="宋体" w:eastAsia="宋体" w:cs="Times New Roman"/>
                <w:szCs w:val="21"/>
                <w:highlight w:val="none"/>
              </w:rPr>
              <w:t>/起</w:t>
            </w:r>
          </w:p>
        </w:tc>
      </w:tr>
      <w:tr w14:paraId="376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62F160B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05AB3E1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有限空间等区域内作业前未采取通风措施，未监测有害气体；金属容器外壳及容器内使用的电动工器具无可靠的接地，容器内、密闭空间内工作无专人监护</w:t>
            </w:r>
          </w:p>
        </w:tc>
        <w:tc>
          <w:tcPr>
            <w:tcW w:w="1236" w:type="pct"/>
            <w:vAlign w:val="center"/>
          </w:tcPr>
          <w:p w14:paraId="4F51FBC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/起</w:t>
            </w:r>
          </w:p>
        </w:tc>
      </w:tr>
      <w:tr w14:paraId="6C45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6451E65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5CE8845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临近带电设备作业，未保持安全距离、未做好安全隔离措施或无专人监护</w:t>
            </w:r>
          </w:p>
        </w:tc>
        <w:tc>
          <w:tcPr>
            <w:tcW w:w="1236" w:type="pct"/>
            <w:vAlign w:val="center"/>
          </w:tcPr>
          <w:p w14:paraId="61A18DD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03A7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3C8FB8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600D681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未落实防火、防大风、防汛、防冻、防暑、防雷、防雨、防雾等季节性安全措施，或控制措施不力</w:t>
            </w:r>
          </w:p>
        </w:tc>
        <w:tc>
          <w:tcPr>
            <w:tcW w:w="1236" w:type="pct"/>
            <w:vAlign w:val="center"/>
          </w:tcPr>
          <w:p w14:paraId="60FB231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w:t>
            </w:r>
            <w:r>
              <w:rPr>
                <w:rFonts w:ascii="宋体" w:hAnsi="宋体" w:eastAsia="宋体" w:cs="Times New Roman"/>
                <w:szCs w:val="21"/>
                <w:highlight w:val="none"/>
              </w:rPr>
              <w:t>元</w:t>
            </w:r>
            <w:r>
              <w:rPr>
                <w:rFonts w:hint="eastAsia" w:ascii="宋体" w:hAnsi="宋体" w:eastAsia="宋体" w:cs="Times New Roman"/>
                <w:szCs w:val="21"/>
                <w:highlight w:val="none"/>
              </w:rPr>
              <w:t>/项</w:t>
            </w:r>
          </w:p>
        </w:tc>
      </w:tr>
      <w:tr w14:paraId="2BC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BB236C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61AFB79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未对地下管线、架空线路、通讯线路以及已建成的装置采取保护措施</w:t>
            </w:r>
          </w:p>
        </w:tc>
        <w:tc>
          <w:tcPr>
            <w:tcW w:w="1236" w:type="pct"/>
            <w:vAlign w:val="center"/>
          </w:tcPr>
          <w:p w14:paraId="3EF0B60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5000元</w:t>
            </w:r>
            <w:r>
              <w:rPr>
                <w:rFonts w:hint="eastAsia" w:ascii="宋体" w:hAnsi="宋体" w:eastAsia="宋体" w:cs="Times New Roman"/>
                <w:szCs w:val="21"/>
                <w:highlight w:val="none"/>
              </w:rPr>
              <w:t>/项</w:t>
            </w:r>
          </w:p>
        </w:tc>
      </w:tr>
      <w:tr w14:paraId="4FE2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23665D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862788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未为施工人员配备合格、规范的劳动防护用品；施工人员未正确佩带和使用；使用不合格的安全帽、安全带、绝缘鞋等劳动防护用品</w:t>
            </w:r>
          </w:p>
        </w:tc>
        <w:tc>
          <w:tcPr>
            <w:tcW w:w="1236" w:type="pct"/>
            <w:vAlign w:val="center"/>
          </w:tcPr>
          <w:p w14:paraId="2F18CA8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1000元/起</w:t>
            </w:r>
          </w:p>
        </w:tc>
      </w:tr>
      <w:tr w14:paraId="0F93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56F584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D0AEB6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使用未经检测或超过检测周期的安全工器具；使用不合格的安全工器具</w:t>
            </w:r>
          </w:p>
        </w:tc>
        <w:tc>
          <w:tcPr>
            <w:tcW w:w="1236" w:type="pct"/>
            <w:vAlign w:val="center"/>
          </w:tcPr>
          <w:p w14:paraId="22BCFB6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2000元/起</w:t>
            </w:r>
          </w:p>
        </w:tc>
      </w:tr>
      <w:tr w14:paraId="614B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6A732C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0DF436B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使用未经验收合格并挂牌的脚手架</w:t>
            </w:r>
          </w:p>
        </w:tc>
        <w:tc>
          <w:tcPr>
            <w:tcW w:w="1236" w:type="pct"/>
            <w:vAlign w:val="center"/>
          </w:tcPr>
          <w:p w14:paraId="13B56CB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5000</w:t>
            </w:r>
            <w:r>
              <w:rPr>
                <w:rFonts w:ascii="宋体" w:hAnsi="宋体" w:eastAsia="宋体" w:cs="Times New Roman"/>
                <w:szCs w:val="21"/>
                <w:highlight w:val="none"/>
              </w:rPr>
              <w:t>元</w:t>
            </w:r>
            <w:r>
              <w:rPr>
                <w:rFonts w:hint="eastAsia" w:ascii="宋体" w:hAnsi="宋体" w:eastAsia="宋体" w:cs="Times New Roman"/>
                <w:szCs w:val="21"/>
                <w:highlight w:val="none"/>
              </w:rPr>
              <w:t>/起</w:t>
            </w:r>
          </w:p>
        </w:tc>
      </w:tr>
      <w:tr w14:paraId="1EAE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0639215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28B5694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Times New Roman"/>
                <w:szCs w:val="21"/>
                <w:highlight w:val="none"/>
                <w:lang w:eastAsia="zh-CN"/>
              </w:rPr>
            </w:pPr>
            <w:r>
              <w:rPr>
                <w:rFonts w:ascii="宋体" w:hAnsi="宋体" w:eastAsia="宋体" w:cs="Times New Roman"/>
                <w:szCs w:val="21"/>
                <w:highlight w:val="none"/>
              </w:rPr>
              <w:t>脚手架的工作面未</w:t>
            </w:r>
            <w:r>
              <w:rPr>
                <w:rFonts w:hint="eastAsia" w:ascii="宋体" w:hAnsi="宋体" w:eastAsia="宋体" w:cs="Times New Roman"/>
                <w:szCs w:val="21"/>
                <w:highlight w:val="none"/>
              </w:rPr>
              <w:t>满铺</w:t>
            </w:r>
            <w:r>
              <w:rPr>
                <w:rFonts w:ascii="宋体" w:hAnsi="宋体" w:eastAsia="宋体" w:cs="Times New Roman"/>
                <w:szCs w:val="21"/>
                <w:highlight w:val="none"/>
              </w:rPr>
              <w:t>脚手板或竹笆，脚手板未绑扎牢固</w:t>
            </w:r>
            <w:r>
              <w:rPr>
                <w:rFonts w:hint="eastAsia" w:ascii="Times New Roman" w:hAnsi="Times New Roman" w:eastAsia="宋体" w:cs="Times New Roman"/>
                <w:szCs w:val="21"/>
                <w:highlight w:val="none"/>
                <w:lang w:eastAsia="zh-CN"/>
              </w:rPr>
              <w:t>，脚手架搭设不合格，未验收使用。</w:t>
            </w:r>
          </w:p>
        </w:tc>
        <w:tc>
          <w:tcPr>
            <w:tcW w:w="1236" w:type="pct"/>
            <w:vAlign w:val="center"/>
          </w:tcPr>
          <w:p w14:paraId="7795C18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73AC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bottom w:val="nil"/>
            </w:tcBorders>
            <w:vAlign w:val="center"/>
          </w:tcPr>
          <w:p w14:paraId="3C91E5C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bottom w:val="nil"/>
            </w:tcBorders>
            <w:vAlign w:val="center"/>
          </w:tcPr>
          <w:p w14:paraId="77F859E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高处交叉作业、吊装、拆除等危险作业场所未设置安全警戒隔离，或未设监护人</w:t>
            </w:r>
          </w:p>
        </w:tc>
        <w:tc>
          <w:tcPr>
            <w:tcW w:w="1236" w:type="pct"/>
            <w:tcBorders>
              <w:bottom w:val="nil"/>
            </w:tcBorders>
            <w:vAlign w:val="center"/>
          </w:tcPr>
          <w:p w14:paraId="5F104A9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7CB6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7A29187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5B1FBF4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氧、乙炔表计损坏在继续使用，乙炔气瓶卧放或气瓶无防倾倒措施，气瓶夏季无防晒措施。气瓶软管龟裂严重，使用乙炔无防回火装置</w:t>
            </w:r>
          </w:p>
        </w:tc>
        <w:tc>
          <w:tcPr>
            <w:tcW w:w="1236" w:type="pct"/>
            <w:vAlign w:val="center"/>
          </w:tcPr>
          <w:p w14:paraId="6D45095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51FE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2FD7AE8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4A720F3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易燃易爆区、重点防火区消防器材配备不符合消防规程的要求，无警告标志、消防器材未定期检查记录</w:t>
            </w:r>
          </w:p>
        </w:tc>
        <w:tc>
          <w:tcPr>
            <w:tcW w:w="1236" w:type="pct"/>
            <w:vAlign w:val="center"/>
          </w:tcPr>
          <w:p w14:paraId="2C91BC1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w:t>
            </w:r>
            <w:r>
              <w:rPr>
                <w:rFonts w:ascii="宋体" w:hAnsi="宋体" w:eastAsia="宋体" w:cs="Times New Roman"/>
                <w:szCs w:val="21"/>
                <w:highlight w:val="none"/>
              </w:rPr>
              <w:t>元</w:t>
            </w:r>
            <w:r>
              <w:rPr>
                <w:rFonts w:hint="eastAsia" w:ascii="宋体" w:hAnsi="宋体" w:eastAsia="宋体" w:cs="Times New Roman"/>
                <w:szCs w:val="21"/>
                <w:highlight w:val="none"/>
              </w:rPr>
              <w:t>/起</w:t>
            </w:r>
          </w:p>
        </w:tc>
      </w:tr>
      <w:tr w14:paraId="31BE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3E6EA41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三、文明施工违约</w:t>
            </w:r>
          </w:p>
        </w:tc>
      </w:tr>
      <w:tr w14:paraId="7C8F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5E990E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2744D373">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现场使用的水泥、石膏等易飞扬细颗粒散体材料未按要求封闭存放，未采取防雨、防潮措施</w:t>
            </w:r>
          </w:p>
        </w:tc>
        <w:tc>
          <w:tcPr>
            <w:tcW w:w="1236" w:type="pct"/>
            <w:vAlign w:val="center"/>
          </w:tcPr>
          <w:p w14:paraId="1DE2C5A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/处</w:t>
            </w:r>
          </w:p>
        </w:tc>
      </w:tr>
      <w:tr w14:paraId="3DD1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tcBorders>
              <w:bottom w:val="nil"/>
            </w:tcBorders>
            <w:vAlign w:val="center"/>
          </w:tcPr>
          <w:p w14:paraId="40F4B1A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tcBorders>
              <w:bottom w:val="nil"/>
            </w:tcBorders>
            <w:vAlign w:val="center"/>
          </w:tcPr>
          <w:p w14:paraId="32D8E34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施工现场物料未按施工平面图统一布置、分类码放整齐或物料堆放场地未达到平整、夯实要求，未设置排水措施；现场堆料高度超过1.5m或槽、坑、沟边及构筑物临边1m范围内堆放物料</w:t>
            </w:r>
          </w:p>
        </w:tc>
        <w:tc>
          <w:tcPr>
            <w:tcW w:w="1236" w:type="pct"/>
            <w:tcBorders>
              <w:bottom w:val="nil"/>
            </w:tcBorders>
            <w:vAlign w:val="center"/>
          </w:tcPr>
          <w:p w14:paraId="5B2F8A3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/处</w:t>
            </w:r>
          </w:p>
        </w:tc>
      </w:tr>
      <w:tr w14:paraId="5B94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D523E5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570D62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建筑垃圾未经核准，擅自以填埋、焚烧、倾倒等方式处置或者处置超出核准范围的</w:t>
            </w:r>
          </w:p>
        </w:tc>
        <w:tc>
          <w:tcPr>
            <w:tcW w:w="1236" w:type="pct"/>
            <w:vAlign w:val="center"/>
          </w:tcPr>
          <w:p w14:paraId="3ABF592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0000元</w:t>
            </w:r>
            <w:r>
              <w:rPr>
                <w:rFonts w:hint="eastAsia" w:ascii="宋体" w:hAnsi="宋体" w:eastAsia="宋体" w:cs="Times New Roman"/>
                <w:szCs w:val="21"/>
                <w:highlight w:val="none"/>
              </w:rPr>
              <w:t>/起</w:t>
            </w:r>
          </w:p>
        </w:tc>
      </w:tr>
      <w:tr w14:paraId="36F0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7E7EC6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071BBB0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施工现场存放和进场的材料</w:t>
            </w:r>
            <w:r>
              <w:rPr>
                <w:rFonts w:hint="eastAsia" w:ascii="宋体" w:hAnsi="宋体" w:eastAsia="宋体" w:cs="Times New Roman"/>
                <w:szCs w:val="21"/>
                <w:highlight w:val="none"/>
              </w:rPr>
              <w:t>未</w:t>
            </w:r>
            <w:r>
              <w:rPr>
                <w:rFonts w:ascii="宋体" w:hAnsi="宋体" w:eastAsia="宋体" w:cs="Times New Roman"/>
                <w:szCs w:val="21"/>
                <w:highlight w:val="none"/>
              </w:rPr>
              <w:t>进行分类存放，堆放</w:t>
            </w:r>
            <w:r>
              <w:rPr>
                <w:rFonts w:hint="eastAsia" w:ascii="宋体" w:hAnsi="宋体" w:eastAsia="宋体" w:cs="Times New Roman"/>
                <w:szCs w:val="21"/>
                <w:highlight w:val="none"/>
              </w:rPr>
              <w:t>不</w:t>
            </w:r>
            <w:r>
              <w:rPr>
                <w:rFonts w:ascii="宋体" w:hAnsi="宋体" w:eastAsia="宋体" w:cs="Times New Roman"/>
                <w:szCs w:val="21"/>
                <w:highlight w:val="none"/>
              </w:rPr>
              <w:t>整齐</w:t>
            </w:r>
            <w:r>
              <w:rPr>
                <w:rFonts w:hint="eastAsia" w:ascii="宋体" w:hAnsi="宋体" w:eastAsia="宋体" w:cs="Times New Roman"/>
                <w:szCs w:val="21"/>
                <w:highlight w:val="none"/>
              </w:rPr>
              <w:t>，未</w:t>
            </w:r>
            <w:r>
              <w:rPr>
                <w:rFonts w:ascii="宋体" w:hAnsi="宋体" w:eastAsia="宋体" w:cs="Times New Roman"/>
                <w:szCs w:val="21"/>
                <w:highlight w:val="none"/>
              </w:rPr>
              <w:t>加以覆盖</w:t>
            </w:r>
          </w:p>
        </w:tc>
        <w:tc>
          <w:tcPr>
            <w:tcW w:w="1236" w:type="pct"/>
            <w:vAlign w:val="center"/>
          </w:tcPr>
          <w:p w14:paraId="2C634A82">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1000元/起</w:t>
            </w:r>
          </w:p>
        </w:tc>
      </w:tr>
      <w:tr w14:paraId="0A58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2EF14FC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142E88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施工现场未做到工完料净场地清，当天施工的各种材料，在进入施工现场作业区后，未码放整齐利索，影响行人和施工手推车正常通行</w:t>
            </w:r>
          </w:p>
        </w:tc>
        <w:tc>
          <w:tcPr>
            <w:tcW w:w="1236" w:type="pct"/>
            <w:vAlign w:val="center"/>
          </w:tcPr>
          <w:p w14:paraId="31AD57F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1000元/次</w:t>
            </w:r>
          </w:p>
        </w:tc>
      </w:tr>
      <w:tr w14:paraId="083A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08E963B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677DA29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施工现场发现大小便不文明行为</w:t>
            </w:r>
          </w:p>
        </w:tc>
        <w:tc>
          <w:tcPr>
            <w:tcW w:w="1236" w:type="pct"/>
            <w:vAlign w:val="center"/>
          </w:tcPr>
          <w:p w14:paraId="5C09C22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1000元/次</w:t>
            </w:r>
          </w:p>
        </w:tc>
      </w:tr>
      <w:tr w14:paraId="76CC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16C62EE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4AE135B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Times New Roman" w:hAnsi="Times New Roman" w:eastAsia="宋体" w:cs="Times New Roman"/>
                <w:highlight w:val="none"/>
              </w:rPr>
              <w:t>生活污水偷排乱排至附近水体或雨水管网</w:t>
            </w:r>
          </w:p>
        </w:tc>
        <w:tc>
          <w:tcPr>
            <w:tcW w:w="1236" w:type="pct"/>
            <w:vAlign w:val="center"/>
          </w:tcPr>
          <w:p w14:paraId="2453D11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1000元/次</w:t>
            </w:r>
          </w:p>
        </w:tc>
      </w:tr>
      <w:tr w14:paraId="112E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1A727D9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四、人员行为违约</w:t>
            </w:r>
          </w:p>
        </w:tc>
      </w:tr>
      <w:tr w14:paraId="161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C83313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3E29A3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酒后进入施工现场</w:t>
            </w:r>
            <w:r>
              <w:rPr>
                <w:rFonts w:hint="eastAsia" w:ascii="宋体" w:hAnsi="宋体" w:eastAsia="宋体" w:cs="Times New Roman"/>
                <w:szCs w:val="21"/>
                <w:highlight w:val="none"/>
              </w:rPr>
              <w:t>作业</w:t>
            </w:r>
          </w:p>
        </w:tc>
        <w:tc>
          <w:tcPr>
            <w:tcW w:w="1236" w:type="pct"/>
            <w:vAlign w:val="center"/>
          </w:tcPr>
          <w:p w14:paraId="29DDA3C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w:t>
            </w:r>
            <w:r>
              <w:rPr>
                <w:rFonts w:ascii="宋体" w:hAnsi="宋体" w:eastAsia="宋体" w:cs="Times New Roman"/>
                <w:szCs w:val="21"/>
                <w:highlight w:val="none"/>
              </w:rPr>
              <w:t>000元</w:t>
            </w:r>
            <w:r>
              <w:rPr>
                <w:rFonts w:hint="eastAsia" w:ascii="宋体" w:hAnsi="宋体" w:eastAsia="宋体" w:cs="Times New Roman"/>
                <w:szCs w:val="21"/>
                <w:highlight w:val="none"/>
              </w:rPr>
              <w:t>/人次</w:t>
            </w:r>
          </w:p>
        </w:tc>
      </w:tr>
      <w:tr w14:paraId="10AF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1F2F918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A4DB21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在施工现场流动抽烟</w:t>
            </w:r>
          </w:p>
        </w:tc>
        <w:tc>
          <w:tcPr>
            <w:tcW w:w="1236" w:type="pct"/>
            <w:vAlign w:val="center"/>
          </w:tcPr>
          <w:p w14:paraId="6FDAA43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1000元/人次</w:t>
            </w:r>
          </w:p>
        </w:tc>
      </w:tr>
      <w:tr w14:paraId="2AA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275F4C6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6F8735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随意移动、损坏、拆除安全设施或将安全设施移作他用</w:t>
            </w:r>
          </w:p>
        </w:tc>
        <w:tc>
          <w:tcPr>
            <w:tcW w:w="1236" w:type="pct"/>
            <w:vAlign w:val="center"/>
          </w:tcPr>
          <w:p w14:paraId="427AC24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/次</w:t>
            </w:r>
          </w:p>
        </w:tc>
      </w:tr>
      <w:tr w14:paraId="1DEE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A596CA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D638E6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高处作业未按规定要求系安全带，在垂直攀登或高处作业活动范围较大时，未使用攀登自锁器或速差自控器</w:t>
            </w:r>
          </w:p>
        </w:tc>
        <w:tc>
          <w:tcPr>
            <w:tcW w:w="1236" w:type="pct"/>
            <w:vAlign w:val="center"/>
          </w:tcPr>
          <w:p w14:paraId="015A4C74">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30E5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6DF6BA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047E310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从高空</w:t>
            </w:r>
            <w:r>
              <w:rPr>
                <w:rFonts w:hint="eastAsia" w:ascii="宋体" w:hAnsi="宋体" w:eastAsia="宋体" w:cs="Times New Roman"/>
                <w:szCs w:val="21"/>
                <w:highlight w:val="none"/>
              </w:rPr>
              <w:t>抛物或</w:t>
            </w:r>
            <w:r>
              <w:rPr>
                <w:rFonts w:ascii="宋体" w:hAnsi="宋体" w:eastAsia="宋体" w:cs="Times New Roman"/>
                <w:szCs w:val="21"/>
                <w:highlight w:val="none"/>
              </w:rPr>
              <w:t>倾倒垃圾、杂物等</w:t>
            </w:r>
          </w:p>
        </w:tc>
        <w:tc>
          <w:tcPr>
            <w:tcW w:w="1236" w:type="pct"/>
            <w:vAlign w:val="center"/>
          </w:tcPr>
          <w:p w14:paraId="7187F1D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w:t>
            </w:r>
            <w:r>
              <w:rPr>
                <w:rFonts w:hint="eastAsia" w:ascii="宋体" w:hAnsi="宋体" w:eastAsia="宋体" w:cs="Times New Roman"/>
                <w:szCs w:val="21"/>
                <w:highlight w:val="none"/>
              </w:rPr>
              <w:t>0</w:t>
            </w:r>
            <w:r>
              <w:rPr>
                <w:rFonts w:ascii="宋体" w:hAnsi="宋体" w:eastAsia="宋体" w:cs="Times New Roman"/>
                <w:szCs w:val="21"/>
                <w:highlight w:val="none"/>
              </w:rPr>
              <w:t>0元</w:t>
            </w:r>
            <w:r>
              <w:rPr>
                <w:rFonts w:hint="eastAsia" w:ascii="宋体" w:hAnsi="宋体" w:eastAsia="宋体" w:cs="Times New Roman"/>
                <w:szCs w:val="21"/>
                <w:highlight w:val="none"/>
              </w:rPr>
              <w:t>/次</w:t>
            </w:r>
          </w:p>
        </w:tc>
      </w:tr>
      <w:tr w14:paraId="2DB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473207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266C04A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高处作业时，施工材料、工器具等放在临边或孔洞附近，无防坠落措施</w:t>
            </w:r>
          </w:p>
        </w:tc>
        <w:tc>
          <w:tcPr>
            <w:tcW w:w="1236" w:type="pct"/>
            <w:vAlign w:val="center"/>
          </w:tcPr>
          <w:p w14:paraId="1D136448">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0729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6CD46D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2C02D6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在高处作业场所追跑、打闹、打架等，在作业现场躺卧休息</w:t>
            </w:r>
          </w:p>
        </w:tc>
        <w:tc>
          <w:tcPr>
            <w:tcW w:w="1236" w:type="pct"/>
            <w:vAlign w:val="center"/>
          </w:tcPr>
          <w:p w14:paraId="2F072D2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1189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29D5E74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7E18FE09">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无视安全标志或监护人的警告，擅自进入安全警戒区</w:t>
            </w:r>
          </w:p>
        </w:tc>
        <w:tc>
          <w:tcPr>
            <w:tcW w:w="1236" w:type="pct"/>
            <w:vAlign w:val="center"/>
          </w:tcPr>
          <w:p w14:paraId="29C4C19C">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1671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17CF6A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10F3E90">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不按规定顺序拆除脚手架，上下同时拆除或将脚手架整体推倒</w:t>
            </w:r>
          </w:p>
        </w:tc>
        <w:tc>
          <w:tcPr>
            <w:tcW w:w="1236" w:type="pct"/>
            <w:vAlign w:val="center"/>
          </w:tcPr>
          <w:p w14:paraId="6872FEB5">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1E35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5B510EB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7BEDB05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非特种作业人员从事特种作业，如操作和指挥起重机械、从事司索、焊接、切割、电工等作业和机动车辆驾驶</w:t>
            </w:r>
          </w:p>
        </w:tc>
        <w:tc>
          <w:tcPr>
            <w:tcW w:w="1236" w:type="pct"/>
            <w:vAlign w:val="center"/>
          </w:tcPr>
          <w:p w14:paraId="109E630E">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45D6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38745D3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33BD5E3D">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吊物绑扎、吊装方法不当、起吊超过起重机械额定负荷的吊物、指挥信号不明时进行起重作业等违反“十不吊”行为</w:t>
            </w:r>
          </w:p>
        </w:tc>
        <w:tc>
          <w:tcPr>
            <w:tcW w:w="1236" w:type="pct"/>
            <w:vAlign w:val="center"/>
          </w:tcPr>
          <w:p w14:paraId="0841C75F">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2000元</w:t>
            </w:r>
            <w:r>
              <w:rPr>
                <w:rFonts w:hint="eastAsia" w:ascii="宋体" w:hAnsi="宋体" w:eastAsia="宋体" w:cs="Times New Roman"/>
                <w:szCs w:val="21"/>
                <w:highlight w:val="none"/>
              </w:rPr>
              <w:t>/起</w:t>
            </w:r>
          </w:p>
        </w:tc>
      </w:tr>
      <w:tr w14:paraId="33D1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75B49CA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5D425461">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ascii="宋体" w:hAnsi="宋体" w:eastAsia="宋体" w:cs="Times New Roman"/>
                <w:szCs w:val="21"/>
                <w:highlight w:val="none"/>
              </w:rPr>
              <w:t>未按规定在施工后清除废料或违反定置化管理要求，随意倾倒废料</w:t>
            </w:r>
          </w:p>
        </w:tc>
        <w:tc>
          <w:tcPr>
            <w:tcW w:w="1236" w:type="pct"/>
            <w:vAlign w:val="center"/>
          </w:tcPr>
          <w:p w14:paraId="0622810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/起</w:t>
            </w:r>
          </w:p>
        </w:tc>
      </w:tr>
      <w:tr w14:paraId="284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224593E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0BB2268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进入施工现场及高处作业未配带安全帽的</w:t>
            </w:r>
          </w:p>
        </w:tc>
        <w:tc>
          <w:tcPr>
            <w:tcW w:w="1236" w:type="pct"/>
            <w:vAlign w:val="center"/>
          </w:tcPr>
          <w:p w14:paraId="10EF41C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ascii="宋体" w:hAnsi="宋体" w:eastAsia="宋体" w:cs="Times New Roman"/>
                <w:szCs w:val="21"/>
                <w:highlight w:val="none"/>
              </w:rPr>
              <w:t>1000元</w:t>
            </w:r>
            <w:r>
              <w:rPr>
                <w:rFonts w:hint="eastAsia" w:ascii="宋体" w:hAnsi="宋体" w:eastAsia="宋体" w:cs="Times New Roman"/>
                <w:szCs w:val="21"/>
                <w:highlight w:val="none"/>
              </w:rPr>
              <w:t>/起</w:t>
            </w:r>
          </w:p>
        </w:tc>
      </w:tr>
      <w:tr w14:paraId="01AC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69552067">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Times New Roman"/>
                <w:szCs w:val="21"/>
                <w:highlight w:val="none"/>
              </w:rPr>
            </w:pPr>
            <w:r>
              <w:rPr>
                <w:rFonts w:hint="eastAsia" w:ascii="宋体" w:hAnsi="宋体" w:eastAsia="宋体" w:cs="Times New Roman"/>
                <w:b/>
                <w:bCs/>
                <w:szCs w:val="21"/>
                <w:highlight w:val="none"/>
              </w:rPr>
              <w:t>五、其他违约</w:t>
            </w:r>
          </w:p>
        </w:tc>
      </w:tr>
      <w:tr w14:paraId="6B6F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400ACA3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FF6969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因安全、环保、治安、消防等问题被区级政府通报</w:t>
            </w:r>
          </w:p>
        </w:tc>
        <w:tc>
          <w:tcPr>
            <w:tcW w:w="1236" w:type="pct"/>
            <w:vAlign w:val="center"/>
          </w:tcPr>
          <w:p w14:paraId="719D78A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10000元/次</w:t>
            </w:r>
          </w:p>
        </w:tc>
      </w:tr>
      <w:tr w14:paraId="6362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70B9629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2495F95B">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因安全、环保、治安、消防等问题被市级政府通报</w:t>
            </w:r>
          </w:p>
        </w:tc>
        <w:tc>
          <w:tcPr>
            <w:tcW w:w="1236" w:type="pct"/>
            <w:vAlign w:val="center"/>
          </w:tcPr>
          <w:p w14:paraId="65A543D9">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50000元/次</w:t>
            </w:r>
          </w:p>
        </w:tc>
      </w:tr>
      <w:tr w14:paraId="4075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2" w:type="pct"/>
            <w:vAlign w:val="center"/>
          </w:tcPr>
          <w:p w14:paraId="73B76F9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0" w:firstLineChars="0"/>
              <w:jc w:val="right"/>
              <w:textAlignment w:val="auto"/>
              <w:rPr>
                <w:rFonts w:ascii="宋体" w:hAnsi="宋体" w:eastAsia="宋体" w:cs="Times New Roman"/>
                <w:szCs w:val="21"/>
                <w:highlight w:val="none"/>
              </w:rPr>
            </w:pPr>
          </w:p>
        </w:tc>
        <w:tc>
          <w:tcPr>
            <w:tcW w:w="3240" w:type="pct"/>
            <w:vAlign w:val="center"/>
          </w:tcPr>
          <w:p w14:paraId="15BCBD9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szCs w:val="21"/>
                <w:highlight w:val="none"/>
              </w:rPr>
            </w:pPr>
            <w:r>
              <w:rPr>
                <w:rFonts w:hint="eastAsia" w:ascii="宋体" w:hAnsi="宋体" w:eastAsia="宋体" w:cs="Times New Roman"/>
                <w:szCs w:val="21"/>
                <w:highlight w:val="none"/>
              </w:rPr>
              <w:t>因安全、环保、治安、消防等问题被省级及以上政府通报</w:t>
            </w:r>
          </w:p>
        </w:tc>
        <w:tc>
          <w:tcPr>
            <w:tcW w:w="1236" w:type="pct"/>
            <w:vAlign w:val="center"/>
          </w:tcPr>
          <w:p w14:paraId="6CD9F31A">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szCs w:val="21"/>
                <w:highlight w:val="none"/>
              </w:rPr>
            </w:pPr>
            <w:r>
              <w:rPr>
                <w:rFonts w:hint="eastAsia" w:ascii="宋体" w:hAnsi="宋体" w:eastAsia="宋体" w:cs="Times New Roman"/>
                <w:szCs w:val="21"/>
                <w:highlight w:val="none"/>
              </w:rPr>
              <w:t>100000元/次</w:t>
            </w:r>
          </w:p>
        </w:tc>
      </w:tr>
    </w:tbl>
    <w:p w14:paraId="555380EE">
      <w:pPr>
        <w:spacing w:line="440" w:lineRule="exact"/>
        <w:ind w:firstLine="420" w:firstLineChars="200"/>
        <w:rPr>
          <w:rFonts w:hint="eastAsia" w:ascii="宋体" w:hAnsi="宋体" w:eastAsia="宋体" w:cs="宋体"/>
          <w:color w:val="000000"/>
          <w:szCs w:val="21"/>
          <w:highlight w:val="none"/>
          <w:lang w:bidi="ar"/>
        </w:rPr>
      </w:pPr>
    </w:p>
    <w:p w14:paraId="7C0D7ED1">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甲方：</w:t>
      </w:r>
      <w:r>
        <w:rPr>
          <w:rFonts w:ascii="宋体" w:hAnsi="宋体" w:eastAsia="宋体" w:cs="Times New Roman"/>
          <w:szCs w:val="21"/>
          <w:highlight w:val="none"/>
        </w:rPr>
        <w:tab/>
      </w:r>
      <w:r>
        <w:rPr>
          <w:rFonts w:hint="eastAsia" w:ascii="宋体" w:hAnsi="宋体" w:eastAsia="宋体" w:cs="Times New Roman"/>
          <w:szCs w:val="21"/>
          <w:highlight w:val="none"/>
          <w:u w:val="none"/>
          <w:lang w:val="en-US" w:eastAsia="zh-CN"/>
        </w:rPr>
        <w:t xml:space="preserve">                                  </w:t>
      </w:r>
      <w:r>
        <w:rPr>
          <w:rFonts w:hint="eastAsia" w:ascii="宋体" w:hAnsi="宋体" w:eastAsia="宋体" w:cs="Times New Roman"/>
          <w:szCs w:val="21"/>
          <w:highlight w:val="none"/>
        </w:rPr>
        <w:t>乙方：</w:t>
      </w:r>
    </w:p>
    <w:p w14:paraId="71A4B78E">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（盖章）</w:t>
      </w:r>
      <w:r>
        <w:rPr>
          <w:rFonts w:ascii="宋体" w:hAnsi="宋体" w:eastAsia="宋体" w:cs="Times New Roman"/>
          <w:szCs w:val="21"/>
          <w:highlight w:val="none"/>
        </w:rPr>
        <w:tab/>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（盖章）</w:t>
      </w:r>
    </w:p>
    <w:p w14:paraId="407AF251">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法定代表人或委托代理人：</w:t>
      </w:r>
      <w:r>
        <w:rPr>
          <w:rFonts w:ascii="宋体" w:hAnsi="宋体" w:eastAsia="宋体" w:cs="Times New Roman"/>
          <w:szCs w:val="21"/>
          <w:highlight w:val="none"/>
        </w:rPr>
        <w:tab/>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法定代表人或委托代理人：</w:t>
      </w:r>
    </w:p>
    <w:p w14:paraId="10FD9F0B">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（签字）</w:t>
      </w:r>
      <w:r>
        <w:rPr>
          <w:rFonts w:ascii="宋体" w:hAnsi="宋体" w:eastAsia="宋体" w:cs="Times New Roman"/>
          <w:szCs w:val="21"/>
          <w:highlight w:val="none"/>
        </w:rPr>
        <w:tab/>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（签字）</w:t>
      </w:r>
    </w:p>
    <w:p w14:paraId="0E8D5AB0">
      <w:pPr>
        <w:pStyle w:val="4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eastAsia"/>
          <w:highlight w:val="none"/>
          <w:lang w:val="en-US" w:eastAsia="zh-CN"/>
        </w:rPr>
      </w:pPr>
      <w:r>
        <w:rPr>
          <w:rFonts w:hint="eastAsia"/>
          <w:highlight w:val="none"/>
          <w:lang w:val="en-US" w:eastAsia="zh-CN"/>
        </w:rPr>
        <w:t>附件四</w:t>
      </w:r>
    </w:p>
    <w:p w14:paraId="579B8A99">
      <w:pPr>
        <w:spacing w:line="360" w:lineRule="auto"/>
        <w:ind w:firstLine="422" w:firstLineChars="200"/>
        <w:jc w:val="center"/>
        <w:rPr>
          <w:rFonts w:hint="eastAsia" w:ascii="宋体" w:hAnsi="宋体" w:eastAsia="宋体" w:cs="宋体"/>
          <w:b/>
          <w:szCs w:val="21"/>
          <w:highlight w:val="none"/>
          <w:lang w:eastAsia="zh-CN" w:bidi="ar"/>
        </w:rPr>
      </w:pPr>
      <w:r>
        <w:rPr>
          <w:rFonts w:hint="eastAsia" w:ascii="宋体" w:hAnsi="宋体" w:eastAsia="宋体" w:cs="宋体"/>
          <w:b/>
          <w:szCs w:val="21"/>
          <w:highlight w:val="none"/>
          <w:lang w:val="en-US" w:eastAsia="zh-CN" w:bidi="ar"/>
        </w:rPr>
        <w:t>施工现场环境保护与</w:t>
      </w:r>
      <w:r>
        <w:rPr>
          <w:rFonts w:hint="eastAsia" w:ascii="宋体" w:hAnsi="宋体" w:eastAsia="宋体" w:cs="宋体"/>
          <w:b/>
          <w:szCs w:val="21"/>
          <w:highlight w:val="none"/>
          <w:lang w:bidi="ar"/>
        </w:rPr>
        <w:t>扬尘防治</w:t>
      </w:r>
      <w:r>
        <w:rPr>
          <w:rFonts w:hint="eastAsia" w:ascii="宋体" w:hAnsi="宋体" w:eastAsia="宋体" w:cs="宋体"/>
          <w:b/>
          <w:szCs w:val="21"/>
          <w:highlight w:val="none"/>
          <w:lang w:val="en-US" w:eastAsia="zh-CN" w:bidi="ar"/>
        </w:rPr>
        <w:t>管理</w:t>
      </w:r>
      <w:r>
        <w:rPr>
          <w:rFonts w:hint="eastAsia" w:ascii="宋体" w:hAnsi="宋体" w:eastAsia="宋体" w:cs="宋体"/>
          <w:b/>
          <w:szCs w:val="21"/>
          <w:highlight w:val="none"/>
          <w:lang w:bidi="ar"/>
        </w:rPr>
        <w:t>协议</w:t>
      </w:r>
      <w:r>
        <w:rPr>
          <w:rFonts w:hint="eastAsia" w:ascii="宋体" w:hAnsi="宋体" w:eastAsia="宋体" w:cs="宋体"/>
          <w:b/>
          <w:szCs w:val="21"/>
          <w:highlight w:val="none"/>
          <w:lang w:eastAsia="zh-CN" w:bidi="ar"/>
        </w:rPr>
        <w:t>（</w:t>
      </w:r>
      <w:r>
        <w:rPr>
          <w:rFonts w:hint="eastAsia" w:ascii="宋体" w:hAnsi="宋体" w:eastAsia="宋体" w:cs="宋体"/>
          <w:b/>
          <w:szCs w:val="21"/>
          <w:highlight w:val="none"/>
          <w:lang w:val="en-US" w:eastAsia="zh-CN" w:bidi="ar"/>
        </w:rPr>
        <w:t>试行</w:t>
      </w:r>
      <w:r>
        <w:rPr>
          <w:rFonts w:hint="eastAsia" w:ascii="宋体" w:hAnsi="宋体" w:eastAsia="宋体" w:cs="宋体"/>
          <w:b/>
          <w:szCs w:val="21"/>
          <w:highlight w:val="none"/>
          <w:lang w:eastAsia="zh-CN" w:bidi="ar"/>
        </w:rPr>
        <w:t>）</w:t>
      </w:r>
    </w:p>
    <w:p w14:paraId="73ABDD46">
      <w:p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甲方：</w:t>
      </w:r>
      <w:r>
        <w:rPr>
          <w:rFonts w:hint="eastAsia" w:ascii="宋体" w:hAnsi="宋体" w:eastAsia="宋体" w:cs="宋体"/>
          <w:b/>
          <w:bCs/>
          <w:sz w:val="21"/>
          <w:szCs w:val="21"/>
          <w:highlight w:val="none"/>
          <w:u w:val="single"/>
          <w:lang w:val="en-US" w:eastAsia="zh-CN"/>
        </w:rPr>
        <w:t>连云港徐圩建筑工程有限公司</w:t>
      </w:r>
      <w:r>
        <w:rPr>
          <w:rFonts w:hint="eastAsia" w:ascii="宋体" w:hAnsi="宋体" w:eastAsia="宋体" w:cs="宋体"/>
          <w:sz w:val="21"/>
          <w:szCs w:val="21"/>
          <w:highlight w:val="none"/>
          <w:lang w:val="en-US" w:eastAsia="zh-CN" w:bidi="ar"/>
        </w:rPr>
        <w:t xml:space="preserve">(以下简称“甲方”) </w:t>
      </w:r>
    </w:p>
    <w:p w14:paraId="5EC04E1D">
      <w:p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乙方：</w:t>
      </w:r>
      <w:r>
        <w:rPr>
          <w:rFonts w:hint="eastAsia" w:ascii="宋体" w:hAnsi="宋体" w:cs="宋体"/>
          <w:b/>
          <w:bCs/>
          <w:sz w:val="21"/>
          <w:szCs w:val="21"/>
          <w:highlight w:val="none"/>
          <w:u w:val="single"/>
          <w:lang w:val="en-US" w:eastAsia="zh-CN" w:bidi="ar"/>
        </w:rPr>
        <w:t xml:space="preserve">                          </w:t>
      </w:r>
      <w:r>
        <w:rPr>
          <w:rFonts w:hint="eastAsia" w:ascii="宋体" w:hAnsi="宋体" w:eastAsia="宋体" w:cs="宋体"/>
          <w:sz w:val="21"/>
          <w:szCs w:val="21"/>
          <w:highlight w:val="none"/>
          <w:lang w:val="en-US" w:eastAsia="zh-CN" w:bidi="ar"/>
        </w:rPr>
        <w:t>(以下简称“乙方”)</w:t>
      </w:r>
    </w:p>
    <w:p w14:paraId="170ED6AF">
      <w:pPr>
        <w:adjustRightInd w:val="0"/>
        <w:snapToGrid w:val="0"/>
        <w:spacing w:line="360" w:lineRule="auto"/>
        <w:ind w:firstLine="420" w:firstLineChars="200"/>
        <w:jc w:val="left"/>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lang w:bidi="ar"/>
        </w:rPr>
        <w:t>为加强施工现场环境保护</w:t>
      </w:r>
      <w:r>
        <w:rPr>
          <w:rFonts w:hint="eastAsia" w:ascii="宋体" w:hAnsi="宋体" w:eastAsia="宋体" w:cs="宋体"/>
          <w:sz w:val="21"/>
          <w:szCs w:val="21"/>
          <w:highlight w:val="none"/>
          <w:lang w:val="en-US" w:eastAsia="zh-CN" w:bidi="ar"/>
        </w:rPr>
        <w:t>与扬尘防治</w:t>
      </w:r>
      <w:r>
        <w:rPr>
          <w:rFonts w:hint="eastAsia" w:ascii="宋体" w:hAnsi="宋体" w:eastAsia="宋体" w:cs="宋体"/>
          <w:sz w:val="21"/>
          <w:szCs w:val="21"/>
          <w:highlight w:val="none"/>
          <w:lang w:bidi="ar"/>
        </w:rPr>
        <w:t>管理，认真执行、贯彻落实国家、</w:t>
      </w:r>
      <w:r>
        <w:rPr>
          <w:rFonts w:hint="eastAsia" w:ascii="宋体" w:hAnsi="宋体" w:eastAsia="宋体" w:cs="宋体"/>
          <w:sz w:val="21"/>
          <w:szCs w:val="21"/>
          <w:highlight w:val="none"/>
          <w:lang w:val="en-US" w:eastAsia="zh-CN" w:bidi="ar"/>
        </w:rPr>
        <w:t>江苏省</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val="en-US" w:eastAsia="zh-CN" w:bidi="ar"/>
        </w:rPr>
        <w:t>连云港市和徐圩新区</w:t>
      </w:r>
      <w:r>
        <w:rPr>
          <w:rFonts w:hint="eastAsia" w:ascii="宋体" w:hAnsi="宋体" w:eastAsia="宋体" w:cs="宋体"/>
          <w:sz w:val="21"/>
          <w:szCs w:val="21"/>
          <w:highlight w:val="none"/>
          <w:lang w:bidi="ar"/>
        </w:rPr>
        <w:t>的有关环境保护</w:t>
      </w:r>
      <w:r>
        <w:rPr>
          <w:rFonts w:hint="eastAsia" w:ascii="宋体" w:hAnsi="宋体" w:eastAsia="宋体" w:cs="宋体"/>
          <w:sz w:val="21"/>
          <w:szCs w:val="21"/>
          <w:highlight w:val="none"/>
          <w:lang w:val="en-US" w:eastAsia="zh-CN" w:bidi="ar"/>
        </w:rPr>
        <w:t>和扬尘防治的</w:t>
      </w:r>
      <w:r>
        <w:rPr>
          <w:rFonts w:hint="eastAsia" w:ascii="宋体" w:hAnsi="宋体" w:eastAsia="宋体" w:cs="宋体"/>
          <w:sz w:val="21"/>
          <w:szCs w:val="21"/>
          <w:highlight w:val="none"/>
          <w:lang w:bidi="ar"/>
        </w:rPr>
        <w:t>法律、法规和管理要求</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双方本着平等、自愿的原则，签定本协议书</w:t>
      </w:r>
      <w:r>
        <w:rPr>
          <w:rFonts w:hint="eastAsia" w:ascii="宋体" w:hAnsi="宋体" w:eastAsia="宋体" w:cs="宋体"/>
          <w:kern w:val="0"/>
          <w:sz w:val="21"/>
          <w:szCs w:val="21"/>
          <w:highlight w:val="none"/>
          <w:lang w:val="en-US" w:eastAsia="zh-CN" w:bidi="ar"/>
        </w:rPr>
        <w:t>。本协议为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b/>
          <w:bCs/>
          <w:sz w:val="21"/>
          <w:szCs w:val="21"/>
          <w:highlight w:val="none"/>
          <w:u w:val="single"/>
          <w:lang w:val="en-US" w:eastAsia="zh-CN"/>
        </w:rPr>
        <w:t xml:space="preserve">长华化学新建二氧化碳聚醚及高性能多元醇项目雨水监控池、事故水池钢板及机械租赁 </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合同的附件，与合同具有同样的法律效力。</w:t>
      </w:r>
    </w:p>
    <w:p w14:paraId="48982AC4">
      <w:pPr>
        <w:numPr>
          <w:ilvl w:val="0"/>
          <w:numId w:val="4"/>
        </w:numPr>
        <w:adjustRightInd w:val="0"/>
        <w:snapToGrid w:val="0"/>
        <w:spacing w:line="360" w:lineRule="auto"/>
        <w:ind w:firstLine="422" w:firstLineChars="200"/>
        <w:jc w:val="left"/>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适用法律、标准及有关管理要求</w:t>
      </w:r>
    </w:p>
    <w:p w14:paraId="4AC1350E">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eastAsia="zh-CN" w:bidi="ar"/>
        </w:rPr>
      </w:pPr>
      <w:r>
        <w:rPr>
          <w:rFonts w:hint="eastAsia" w:ascii="宋体" w:hAnsi="宋体" w:eastAsia="宋体" w:cs="宋体"/>
          <w:kern w:val="2"/>
          <w:sz w:val="21"/>
          <w:szCs w:val="21"/>
          <w:highlight w:val="none"/>
          <w:lang w:val="en-US" w:eastAsia="zh-CN" w:bidi="ar"/>
        </w:rPr>
        <w:t>（一）</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中华人民共和国环境保护法》</w:t>
      </w:r>
    </w:p>
    <w:p w14:paraId="59FEBEAD">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eastAsia="zh-CN" w:bidi="ar"/>
        </w:rPr>
      </w:pPr>
      <w:r>
        <w:rPr>
          <w:rFonts w:hint="eastAsia" w:ascii="宋体" w:hAnsi="宋体" w:eastAsia="宋体" w:cs="宋体"/>
          <w:kern w:val="2"/>
          <w:sz w:val="21"/>
          <w:szCs w:val="21"/>
          <w:highlight w:val="none"/>
          <w:lang w:val="en-US" w:eastAsia="zh-CN" w:bidi="ar"/>
        </w:rPr>
        <w:t>（二）</w:t>
      </w:r>
      <w:r>
        <w:rPr>
          <w:rFonts w:hint="eastAsia" w:ascii="宋体" w:hAnsi="宋体" w:eastAsia="宋体" w:cs="宋体"/>
          <w:sz w:val="21"/>
          <w:szCs w:val="21"/>
          <w:highlight w:val="none"/>
          <w:lang w:eastAsia="zh-CN" w:bidi="ar"/>
        </w:rPr>
        <w:t>《中华人民共和国水污染防治法》</w:t>
      </w:r>
    </w:p>
    <w:p w14:paraId="3A7DD4EF">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eastAsia="zh-CN" w:bidi="ar"/>
        </w:rPr>
      </w:pPr>
      <w:r>
        <w:rPr>
          <w:rFonts w:hint="eastAsia" w:ascii="宋体" w:hAnsi="宋体" w:eastAsia="宋体" w:cs="宋体"/>
          <w:kern w:val="2"/>
          <w:sz w:val="21"/>
          <w:szCs w:val="21"/>
          <w:highlight w:val="none"/>
          <w:lang w:val="en-US" w:eastAsia="zh-CN" w:bidi="ar"/>
        </w:rPr>
        <w:t>（三）</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中华人民共和国固体废物污染环境防治法</w:t>
      </w:r>
      <w:r>
        <w:rPr>
          <w:rFonts w:hint="eastAsia" w:ascii="宋体" w:hAnsi="宋体" w:eastAsia="宋体" w:cs="宋体"/>
          <w:sz w:val="21"/>
          <w:szCs w:val="21"/>
          <w:highlight w:val="none"/>
          <w:lang w:eastAsia="zh-CN" w:bidi="ar"/>
        </w:rPr>
        <w:t>》</w:t>
      </w:r>
    </w:p>
    <w:p w14:paraId="6DB71C8D">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eastAsia="zh-CN" w:bidi="ar"/>
        </w:rPr>
      </w:pPr>
      <w:r>
        <w:rPr>
          <w:rFonts w:hint="eastAsia" w:ascii="宋体" w:hAnsi="宋体" w:eastAsia="宋体" w:cs="宋体"/>
          <w:kern w:val="2"/>
          <w:sz w:val="21"/>
          <w:szCs w:val="21"/>
          <w:highlight w:val="none"/>
          <w:lang w:val="en-US" w:eastAsia="zh-CN" w:bidi="ar"/>
        </w:rPr>
        <w:t>（四）</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中华人民共和国环境噪声污染防治法</w:t>
      </w:r>
      <w:r>
        <w:rPr>
          <w:rFonts w:hint="eastAsia" w:ascii="宋体" w:hAnsi="宋体" w:eastAsia="宋体" w:cs="宋体"/>
          <w:sz w:val="21"/>
          <w:szCs w:val="21"/>
          <w:highlight w:val="none"/>
          <w:lang w:eastAsia="zh-CN" w:bidi="ar"/>
        </w:rPr>
        <w:t>》</w:t>
      </w:r>
    </w:p>
    <w:p w14:paraId="443EFFF3">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（五）</w:t>
      </w:r>
      <w:r>
        <w:rPr>
          <w:rFonts w:hint="eastAsia" w:ascii="宋体" w:hAnsi="宋体" w:eastAsia="宋体" w:cs="宋体"/>
          <w:sz w:val="21"/>
          <w:szCs w:val="21"/>
          <w:highlight w:val="none"/>
          <w:lang w:bidi="ar"/>
        </w:rPr>
        <w:t>《建筑施工安全检查标准》</w:t>
      </w:r>
      <w:r>
        <w:rPr>
          <w:rFonts w:hint="eastAsia" w:ascii="宋体" w:hAnsi="宋体" w:eastAsia="宋体" w:cs="宋体"/>
          <w:sz w:val="21"/>
          <w:szCs w:val="21"/>
          <w:highlight w:val="none"/>
          <w:lang w:eastAsia="zh-CN" w:bidi="ar"/>
        </w:rPr>
        <w:t>（JGJ59—2011）</w:t>
      </w:r>
    </w:p>
    <w:p w14:paraId="1FA0F583">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（六）</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建筑施工现场环境与卫生标准》</w:t>
      </w:r>
      <w:r>
        <w:rPr>
          <w:rFonts w:hint="eastAsia" w:ascii="宋体" w:hAnsi="宋体" w:eastAsia="宋体" w:cs="宋体"/>
          <w:sz w:val="21"/>
          <w:szCs w:val="21"/>
          <w:highlight w:val="none"/>
          <w:lang w:eastAsia="zh-CN" w:bidi="ar"/>
        </w:rPr>
        <w:t>（JGJ146-2013）</w:t>
      </w:r>
    </w:p>
    <w:p w14:paraId="0033C950">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（七）</w:t>
      </w:r>
      <w:r>
        <w:rPr>
          <w:rFonts w:hint="eastAsia" w:ascii="宋体" w:hAnsi="宋体" w:eastAsia="宋体" w:cs="宋体"/>
          <w:sz w:val="21"/>
          <w:szCs w:val="21"/>
          <w:highlight w:val="none"/>
          <w:lang w:bidi="ar"/>
        </w:rPr>
        <w:t>《江苏省建筑工地扬尘防治标准》</w:t>
      </w:r>
      <w:r>
        <w:rPr>
          <w:rFonts w:hint="eastAsia" w:ascii="宋体" w:hAnsi="宋体" w:eastAsia="宋体" w:cs="宋体"/>
          <w:sz w:val="21"/>
          <w:szCs w:val="21"/>
          <w:highlight w:val="none"/>
          <w:lang w:eastAsia="zh-CN" w:bidi="ar"/>
        </w:rPr>
        <w:t>（DGJ32/J203-2016）</w:t>
      </w:r>
    </w:p>
    <w:p w14:paraId="102EA8FD">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（八）</w:t>
      </w:r>
      <w:r>
        <w:rPr>
          <w:rFonts w:hint="eastAsia" w:ascii="宋体" w:hAnsi="宋体" w:eastAsia="宋体" w:cs="宋体"/>
          <w:sz w:val="21"/>
          <w:szCs w:val="21"/>
          <w:highlight w:val="none"/>
          <w:lang w:eastAsia="zh-CN" w:bidi="ar"/>
        </w:rPr>
        <w:t>《2020年江苏省建筑工地扬尘专项治理工作方案》（苏建质安〔2020〕82号）</w:t>
      </w:r>
    </w:p>
    <w:p w14:paraId="0037EE67">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（九）</w:t>
      </w:r>
      <w:r>
        <w:rPr>
          <w:rFonts w:hint="eastAsia" w:ascii="宋体" w:hAnsi="宋体" w:eastAsia="宋体" w:cs="宋体"/>
          <w:sz w:val="21"/>
          <w:szCs w:val="21"/>
          <w:highlight w:val="none"/>
          <w:lang w:eastAsia="zh-CN" w:bidi="ar"/>
        </w:rPr>
        <w:t>《关于做好连云港市施工围挡设置和管理工作的意见》(连政办发〔</w:t>
      </w:r>
      <w:r>
        <w:rPr>
          <w:rFonts w:hint="eastAsia" w:ascii="宋体" w:hAnsi="宋体" w:eastAsia="宋体" w:cs="宋体"/>
          <w:sz w:val="21"/>
          <w:szCs w:val="21"/>
          <w:highlight w:val="none"/>
          <w:lang w:val="en-US" w:eastAsia="zh-CN" w:bidi="ar"/>
        </w:rPr>
        <w:t>2018</w:t>
      </w:r>
      <w:r>
        <w:rPr>
          <w:rFonts w:hint="eastAsia" w:ascii="宋体" w:hAnsi="宋体" w:eastAsia="宋体" w:cs="宋体"/>
          <w:sz w:val="21"/>
          <w:szCs w:val="21"/>
          <w:highlight w:val="none"/>
          <w:lang w:eastAsia="zh-CN" w:bidi="ar"/>
        </w:rPr>
        <w:t>〕147号)</w:t>
      </w:r>
    </w:p>
    <w:p w14:paraId="0FFFB4A8">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w:t>
      </w:r>
      <w:r>
        <w:rPr>
          <w:rFonts w:hint="eastAsia" w:ascii="宋体" w:hAnsi="宋体" w:eastAsia="宋体" w:cs="宋体"/>
          <w:sz w:val="21"/>
          <w:szCs w:val="21"/>
          <w:highlight w:val="none"/>
          <w:lang w:eastAsia="zh-CN" w:bidi="ar"/>
        </w:rPr>
        <w:t>《连云港市城市施工工地扬尘排污费征收管理办法》（试行）</w:t>
      </w:r>
    </w:p>
    <w:p w14:paraId="3927D38D">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（十一）</w:t>
      </w:r>
      <w:r>
        <w:rPr>
          <w:rFonts w:hint="eastAsia" w:ascii="宋体" w:hAnsi="宋体" w:eastAsia="宋体" w:cs="宋体"/>
          <w:sz w:val="21"/>
          <w:szCs w:val="21"/>
          <w:highlight w:val="none"/>
          <w:lang w:bidi="ar"/>
        </w:rPr>
        <w:t>《徐圩新区建筑工地扬尘管控工作方案(2020版)》</w:t>
      </w:r>
      <w:r>
        <w:rPr>
          <w:rFonts w:hint="eastAsia" w:ascii="宋体" w:hAnsi="宋体" w:eastAsia="宋体" w:cs="宋体"/>
          <w:sz w:val="21"/>
          <w:szCs w:val="21"/>
          <w:highlight w:val="none"/>
          <w:lang w:eastAsia="zh-CN" w:bidi="ar"/>
        </w:rPr>
        <w:t>（示范区建发〔2020〕93号）</w:t>
      </w:r>
    </w:p>
    <w:p w14:paraId="6D99FA23">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（十二）</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徐圩新区建筑垃圾管理办法（试行）</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2021年</w:t>
      </w:r>
      <w:r>
        <w:rPr>
          <w:rFonts w:hint="eastAsia" w:ascii="宋体" w:hAnsi="宋体" w:eastAsia="宋体" w:cs="宋体"/>
          <w:sz w:val="21"/>
          <w:szCs w:val="21"/>
          <w:highlight w:val="none"/>
          <w:lang w:eastAsia="zh-CN" w:bidi="ar"/>
        </w:rPr>
        <w:t>）</w:t>
      </w:r>
    </w:p>
    <w:p w14:paraId="48A869C3">
      <w:pPr>
        <w:numPr>
          <w:ilvl w:val="0"/>
          <w:numId w:val="4"/>
        </w:numPr>
        <w:adjustRightInd w:val="0"/>
        <w:snapToGrid w:val="0"/>
        <w:spacing w:line="360" w:lineRule="auto"/>
        <w:ind w:firstLine="422" w:firstLineChars="200"/>
        <w:jc w:val="left"/>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环境保护与扬尘防治管理目标</w:t>
      </w:r>
    </w:p>
    <w:p w14:paraId="61D0DC58">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（一）</w:t>
      </w:r>
      <w:r>
        <w:rPr>
          <w:rFonts w:hint="eastAsia" w:ascii="宋体" w:hAnsi="宋体" w:eastAsia="宋体" w:cs="宋体"/>
          <w:sz w:val="21"/>
          <w:szCs w:val="21"/>
          <w:highlight w:val="none"/>
          <w:lang w:val="en-US" w:eastAsia="zh-CN" w:bidi="ar"/>
        </w:rPr>
        <w:t>不发生环境污染事故、事件。</w:t>
      </w:r>
    </w:p>
    <w:p w14:paraId="45C63B7F">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（二）</w:t>
      </w:r>
      <w:r>
        <w:rPr>
          <w:rFonts w:hint="eastAsia" w:ascii="宋体" w:hAnsi="宋体" w:eastAsia="宋体" w:cs="宋体"/>
          <w:sz w:val="21"/>
          <w:szCs w:val="21"/>
          <w:highlight w:val="none"/>
          <w:lang w:val="en-US" w:eastAsia="zh-CN" w:bidi="ar"/>
        </w:rPr>
        <w:t>不发生与环保、扬尘相关的行政处罚事件。</w:t>
      </w:r>
    </w:p>
    <w:p w14:paraId="766EC510">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（三）</w:t>
      </w:r>
      <w:r>
        <w:rPr>
          <w:rFonts w:hint="eastAsia" w:ascii="宋体" w:hAnsi="宋体" w:eastAsia="宋体" w:cs="宋体"/>
          <w:sz w:val="21"/>
          <w:szCs w:val="21"/>
          <w:highlight w:val="none"/>
          <w:lang w:val="en-US" w:eastAsia="zh-CN" w:bidi="ar"/>
        </w:rPr>
        <w:t>不发生与环保、扬尘相关的社会媒体曝光事件。</w:t>
      </w:r>
    </w:p>
    <w:p w14:paraId="0D318893">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（四）</w:t>
      </w:r>
      <w:r>
        <w:rPr>
          <w:rFonts w:hint="eastAsia" w:ascii="宋体" w:hAnsi="宋体" w:eastAsia="宋体" w:cs="宋体"/>
          <w:sz w:val="21"/>
          <w:szCs w:val="21"/>
          <w:highlight w:val="none"/>
          <w:lang w:val="en-US" w:eastAsia="zh-CN" w:bidi="ar"/>
        </w:rPr>
        <w:t>建筑施工垃圾合法、合规处置。</w:t>
      </w:r>
    </w:p>
    <w:p w14:paraId="559FDBE8">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（五）</w:t>
      </w:r>
      <w:r>
        <w:rPr>
          <w:rFonts w:hint="eastAsia" w:ascii="宋体" w:hAnsi="宋体" w:eastAsia="宋体" w:cs="宋体"/>
          <w:sz w:val="21"/>
          <w:szCs w:val="21"/>
          <w:highlight w:val="none"/>
          <w:lang w:val="en-US" w:eastAsia="zh-CN" w:bidi="ar"/>
        </w:rPr>
        <w:t>危险废物合法、合规处置。</w:t>
      </w:r>
    </w:p>
    <w:p w14:paraId="7B171140">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（六）</w:t>
      </w:r>
      <w:r>
        <w:rPr>
          <w:rFonts w:hint="eastAsia" w:ascii="宋体" w:hAnsi="宋体" w:eastAsia="宋体" w:cs="宋体"/>
          <w:sz w:val="21"/>
          <w:szCs w:val="21"/>
          <w:highlight w:val="none"/>
          <w:lang w:val="en-US" w:eastAsia="zh-CN" w:bidi="ar"/>
        </w:rPr>
        <w:t>做到工地周边围挡100%。</w:t>
      </w:r>
    </w:p>
    <w:p w14:paraId="3D22341C">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（七）</w:t>
      </w:r>
      <w:r>
        <w:rPr>
          <w:rFonts w:hint="eastAsia" w:ascii="宋体" w:hAnsi="宋体" w:eastAsia="宋体" w:cs="宋体"/>
          <w:sz w:val="21"/>
          <w:szCs w:val="21"/>
          <w:highlight w:val="none"/>
          <w:lang w:val="en-US" w:eastAsia="zh-CN" w:bidi="ar"/>
        </w:rPr>
        <w:t>做到物料堆放覆盖100%。</w:t>
      </w:r>
    </w:p>
    <w:p w14:paraId="6C0B29AE">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（八）</w:t>
      </w:r>
      <w:r>
        <w:rPr>
          <w:rFonts w:hint="eastAsia" w:ascii="宋体" w:hAnsi="宋体" w:eastAsia="宋体" w:cs="宋体"/>
          <w:sz w:val="21"/>
          <w:szCs w:val="21"/>
          <w:highlight w:val="none"/>
          <w:lang w:val="en-US" w:eastAsia="zh-CN" w:bidi="ar"/>
        </w:rPr>
        <w:t>做到土方开挖湿法作业100%。</w:t>
      </w:r>
    </w:p>
    <w:p w14:paraId="0907D618">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（九）</w:t>
      </w:r>
      <w:r>
        <w:rPr>
          <w:rFonts w:hint="eastAsia" w:ascii="宋体" w:hAnsi="宋体" w:eastAsia="宋体" w:cs="宋体"/>
          <w:sz w:val="21"/>
          <w:szCs w:val="21"/>
          <w:highlight w:val="none"/>
          <w:lang w:val="en-US" w:eastAsia="zh-CN" w:bidi="ar"/>
        </w:rPr>
        <w:t>做到施工场内主要路面硬化100%。</w:t>
      </w:r>
    </w:p>
    <w:p w14:paraId="6E912442">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w:t>
      </w:r>
      <w:r>
        <w:rPr>
          <w:rFonts w:hint="eastAsia" w:ascii="宋体" w:hAnsi="宋体" w:eastAsia="宋体" w:cs="宋体"/>
          <w:sz w:val="21"/>
          <w:szCs w:val="21"/>
          <w:highlight w:val="none"/>
          <w:lang w:val="en-US" w:eastAsia="zh-CN" w:bidi="ar"/>
        </w:rPr>
        <w:t>做到出入车辆清洗100%。</w:t>
      </w:r>
    </w:p>
    <w:p w14:paraId="11510899">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（十一）</w:t>
      </w:r>
      <w:r>
        <w:rPr>
          <w:rFonts w:hint="eastAsia" w:ascii="宋体" w:hAnsi="宋体" w:eastAsia="宋体" w:cs="宋体"/>
          <w:sz w:val="21"/>
          <w:szCs w:val="21"/>
          <w:highlight w:val="none"/>
          <w:lang w:val="en-US" w:eastAsia="zh-CN" w:bidi="ar"/>
        </w:rPr>
        <w:t>做到渣土车辆密闭运输100%。</w:t>
      </w:r>
    </w:p>
    <w:p w14:paraId="1AFFAB78">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（十二）</w:t>
      </w:r>
      <w:r>
        <w:rPr>
          <w:rFonts w:hint="eastAsia" w:ascii="宋体" w:hAnsi="宋体" w:eastAsia="宋体" w:cs="宋体"/>
          <w:sz w:val="21"/>
          <w:szCs w:val="21"/>
          <w:highlight w:val="none"/>
          <w:lang w:val="en-US" w:eastAsia="zh-CN" w:bidi="ar"/>
        </w:rPr>
        <w:t>做到工地喷淋、洒水抑尘设施全覆盖。</w:t>
      </w:r>
    </w:p>
    <w:p w14:paraId="2B10AA25">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（十三）</w:t>
      </w:r>
      <w:r>
        <w:rPr>
          <w:rFonts w:hint="eastAsia" w:ascii="宋体" w:hAnsi="宋体" w:eastAsia="宋体" w:cs="宋体"/>
          <w:sz w:val="21"/>
          <w:szCs w:val="21"/>
          <w:highlight w:val="none"/>
          <w:lang w:val="en-US" w:eastAsia="zh-CN" w:bidi="ar"/>
        </w:rPr>
        <w:t>做到工地视频监控和扬尘在线监测设备全覆盖。</w:t>
      </w:r>
    </w:p>
    <w:p w14:paraId="5046BF91">
      <w:pPr>
        <w:numPr>
          <w:ilvl w:val="0"/>
          <w:numId w:val="4"/>
        </w:numPr>
        <w:adjustRightInd w:val="0"/>
        <w:snapToGrid w:val="0"/>
        <w:spacing w:line="360" w:lineRule="auto"/>
        <w:ind w:firstLine="422" w:firstLineChars="200"/>
        <w:jc w:val="left"/>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乙方职责</w:t>
      </w:r>
    </w:p>
    <w:p w14:paraId="6C2BF003">
      <w:p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一</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乙方</w:t>
      </w:r>
      <w:r>
        <w:rPr>
          <w:rFonts w:hint="eastAsia" w:ascii="宋体" w:hAnsi="宋体" w:eastAsia="宋体" w:cs="宋体"/>
          <w:sz w:val="21"/>
          <w:szCs w:val="21"/>
          <w:highlight w:val="none"/>
          <w:lang w:val="en-US" w:eastAsia="zh-CN" w:bidi="ar"/>
        </w:rPr>
        <w:t>在本项目实施过程中</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均应按</w:t>
      </w:r>
      <w:r>
        <w:rPr>
          <w:rFonts w:hint="eastAsia" w:ascii="宋体" w:hAnsi="宋体" w:eastAsia="宋体" w:cs="宋体"/>
          <w:sz w:val="21"/>
          <w:szCs w:val="21"/>
          <w:highlight w:val="none"/>
          <w:lang w:val="en-US" w:eastAsia="zh-CN" w:bidi="ar"/>
        </w:rPr>
        <w:t>国家、江苏省、连云港市以及徐圩新区</w:t>
      </w:r>
      <w:r>
        <w:rPr>
          <w:rFonts w:hint="eastAsia" w:ascii="宋体" w:hAnsi="宋体" w:eastAsia="宋体" w:cs="宋体"/>
          <w:sz w:val="21"/>
          <w:szCs w:val="21"/>
          <w:highlight w:val="none"/>
          <w:lang w:bidi="ar"/>
        </w:rPr>
        <w:t>相关</w:t>
      </w:r>
      <w:r>
        <w:rPr>
          <w:rFonts w:hint="eastAsia" w:ascii="宋体" w:hAnsi="宋体" w:eastAsia="宋体" w:cs="宋体"/>
          <w:sz w:val="21"/>
          <w:szCs w:val="21"/>
          <w:highlight w:val="none"/>
          <w:lang w:val="en-US" w:eastAsia="zh-CN" w:bidi="ar"/>
        </w:rPr>
        <w:t>标准和</w:t>
      </w:r>
      <w:r>
        <w:rPr>
          <w:rFonts w:hint="eastAsia" w:ascii="宋体" w:hAnsi="宋体" w:eastAsia="宋体" w:cs="宋体"/>
          <w:sz w:val="21"/>
          <w:szCs w:val="21"/>
          <w:highlight w:val="none"/>
          <w:lang w:bidi="ar"/>
        </w:rPr>
        <w:t>要求执行。</w:t>
      </w:r>
    </w:p>
    <w:p w14:paraId="5EFD4921">
      <w:p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二</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乙方应</w:t>
      </w:r>
      <w:r>
        <w:rPr>
          <w:rFonts w:hint="eastAsia" w:ascii="宋体" w:hAnsi="宋体" w:eastAsia="宋体" w:cs="宋体"/>
          <w:sz w:val="21"/>
          <w:szCs w:val="21"/>
          <w:highlight w:val="none"/>
          <w:lang w:bidi="ar"/>
        </w:rPr>
        <w:t>加强对分包</w:t>
      </w:r>
      <w:r>
        <w:rPr>
          <w:rFonts w:hint="eastAsia" w:ascii="宋体" w:hAnsi="宋体" w:eastAsia="宋体" w:cs="宋体"/>
          <w:sz w:val="21"/>
          <w:szCs w:val="21"/>
          <w:highlight w:val="none"/>
          <w:lang w:val="en-US" w:eastAsia="zh-CN" w:bidi="ar"/>
        </w:rPr>
        <w:t>单位</w:t>
      </w:r>
      <w:r>
        <w:rPr>
          <w:rFonts w:hint="eastAsia" w:ascii="宋体" w:hAnsi="宋体" w:eastAsia="宋体" w:cs="宋体"/>
          <w:sz w:val="21"/>
          <w:szCs w:val="21"/>
          <w:highlight w:val="none"/>
          <w:lang w:bidi="ar"/>
        </w:rPr>
        <w:t>的管理，负责对施工现场环境保护</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扬尘防治</w:t>
      </w:r>
      <w:r>
        <w:rPr>
          <w:rFonts w:hint="eastAsia" w:ascii="宋体" w:hAnsi="宋体" w:eastAsia="宋体" w:cs="宋体"/>
          <w:sz w:val="21"/>
          <w:szCs w:val="21"/>
          <w:highlight w:val="none"/>
          <w:lang w:bidi="ar"/>
        </w:rPr>
        <w:t>进行全面监督、管理，并对施工现场环境保护</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扬尘防治</w:t>
      </w:r>
      <w:r>
        <w:rPr>
          <w:rFonts w:hint="eastAsia" w:ascii="宋体" w:hAnsi="宋体" w:eastAsia="宋体" w:cs="宋体"/>
          <w:sz w:val="21"/>
          <w:szCs w:val="21"/>
          <w:highlight w:val="none"/>
          <w:lang w:bidi="ar"/>
        </w:rPr>
        <w:t>工作进行检查和指导。</w:t>
      </w:r>
    </w:p>
    <w:p w14:paraId="5E6590B9">
      <w:pPr>
        <w:adjustRightInd w:val="0"/>
        <w:snapToGrid w:val="0"/>
        <w:spacing w:line="360" w:lineRule="auto"/>
        <w:ind w:firstLine="420" w:firstLineChars="200"/>
        <w:jc w:val="both"/>
        <w:rPr>
          <w:rFonts w:hint="eastAsia" w:ascii="宋体" w:hAnsi="宋体" w:eastAsia="宋体" w:cs="宋体"/>
          <w:spacing w:val="-1"/>
          <w:kern w:val="0"/>
          <w:sz w:val="21"/>
          <w:szCs w:val="21"/>
          <w:highlight w:val="none"/>
          <w:lang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二</w:t>
      </w:r>
      <w:r>
        <w:rPr>
          <w:rFonts w:hint="eastAsia" w:ascii="宋体" w:hAnsi="宋体" w:eastAsia="宋体" w:cs="宋体"/>
          <w:sz w:val="21"/>
          <w:szCs w:val="21"/>
          <w:highlight w:val="none"/>
          <w:lang w:eastAsia="zh-CN" w:bidi="ar"/>
        </w:rPr>
        <w:t>）</w:t>
      </w:r>
      <w:r>
        <w:rPr>
          <w:rFonts w:hint="eastAsia" w:ascii="宋体" w:hAnsi="宋体" w:eastAsia="宋体" w:cs="宋体"/>
          <w:spacing w:val="-1"/>
          <w:kern w:val="0"/>
          <w:sz w:val="21"/>
          <w:szCs w:val="21"/>
          <w:highlight w:val="none"/>
          <w:lang w:bidi="ar"/>
        </w:rPr>
        <w:t>乙方对</w:t>
      </w:r>
      <w:r>
        <w:rPr>
          <w:rFonts w:hint="eastAsia" w:ascii="宋体" w:hAnsi="宋体" w:eastAsia="宋体" w:cs="宋体"/>
          <w:spacing w:val="-1"/>
          <w:kern w:val="0"/>
          <w:sz w:val="21"/>
          <w:szCs w:val="21"/>
          <w:highlight w:val="none"/>
          <w:lang w:val="en-US" w:eastAsia="zh-CN" w:bidi="ar"/>
        </w:rPr>
        <w:t>本</w:t>
      </w:r>
      <w:r>
        <w:rPr>
          <w:rFonts w:hint="eastAsia" w:ascii="宋体" w:hAnsi="宋体" w:eastAsia="宋体" w:cs="宋体"/>
          <w:spacing w:val="-1"/>
          <w:kern w:val="0"/>
          <w:sz w:val="21"/>
          <w:szCs w:val="21"/>
          <w:highlight w:val="none"/>
          <w:lang w:bidi="ar"/>
        </w:rPr>
        <w:t>项目</w:t>
      </w:r>
      <w:r>
        <w:rPr>
          <w:rFonts w:hint="eastAsia" w:ascii="宋体" w:hAnsi="宋体" w:eastAsia="宋体" w:cs="宋体"/>
          <w:spacing w:val="-1"/>
          <w:kern w:val="0"/>
          <w:sz w:val="21"/>
          <w:szCs w:val="21"/>
          <w:highlight w:val="none"/>
          <w:lang w:val="en-US" w:eastAsia="zh-CN" w:bidi="ar"/>
        </w:rPr>
        <w:t>环境保护、</w:t>
      </w:r>
      <w:r>
        <w:rPr>
          <w:rFonts w:hint="eastAsia" w:ascii="宋体" w:hAnsi="宋体" w:eastAsia="宋体" w:cs="宋体"/>
          <w:spacing w:val="-1"/>
          <w:kern w:val="0"/>
          <w:sz w:val="21"/>
          <w:szCs w:val="21"/>
          <w:highlight w:val="none"/>
          <w:lang w:bidi="ar"/>
        </w:rPr>
        <w:t>扬尘</w:t>
      </w:r>
      <w:r>
        <w:rPr>
          <w:rFonts w:hint="eastAsia" w:ascii="宋体" w:hAnsi="宋体" w:eastAsia="宋体" w:cs="宋体"/>
          <w:spacing w:val="-1"/>
          <w:kern w:val="0"/>
          <w:sz w:val="21"/>
          <w:szCs w:val="21"/>
          <w:highlight w:val="none"/>
          <w:lang w:val="en-US" w:eastAsia="zh-CN" w:bidi="ar"/>
        </w:rPr>
        <w:t>防治</w:t>
      </w:r>
      <w:r>
        <w:rPr>
          <w:rFonts w:hint="eastAsia" w:ascii="宋体" w:hAnsi="宋体" w:eastAsia="宋体" w:cs="宋体"/>
          <w:spacing w:val="-1"/>
          <w:kern w:val="0"/>
          <w:sz w:val="21"/>
          <w:szCs w:val="21"/>
          <w:highlight w:val="none"/>
          <w:lang w:bidi="ar"/>
        </w:rPr>
        <w:t>负直接责任</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应</w:t>
      </w:r>
      <w:r>
        <w:rPr>
          <w:rFonts w:hint="eastAsia" w:ascii="宋体" w:hAnsi="宋体" w:eastAsia="宋体" w:cs="宋体"/>
          <w:spacing w:val="-1"/>
          <w:kern w:val="0"/>
          <w:sz w:val="21"/>
          <w:szCs w:val="21"/>
          <w:highlight w:val="none"/>
          <w:lang w:bidi="ar"/>
        </w:rPr>
        <w:t>落实专人具体负责管理工作</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并</w:t>
      </w:r>
      <w:r>
        <w:rPr>
          <w:rFonts w:hint="eastAsia" w:ascii="宋体" w:hAnsi="宋体" w:eastAsia="宋体" w:cs="宋体"/>
          <w:spacing w:val="-1"/>
          <w:kern w:val="0"/>
          <w:sz w:val="21"/>
          <w:szCs w:val="21"/>
          <w:highlight w:val="none"/>
          <w:lang w:bidi="ar"/>
        </w:rPr>
        <w:t>履行日常</w:t>
      </w:r>
      <w:r>
        <w:rPr>
          <w:rFonts w:hint="eastAsia" w:ascii="宋体" w:hAnsi="宋体" w:eastAsia="宋体" w:cs="宋体"/>
          <w:spacing w:val="-1"/>
          <w:kern w:val="0"/>
          <w:sz w:val="21"/>
          <w:szCs w:val="21"/>
          <w:highlight w:val="none"/>
          <w:lang w:val="en-US" w:eastAsia="zh-CN" w:bidi="ar"/>
        </w:rPr>
        <w:t>环境保护、</w:t>
      </w:r>
      <w:r>
        <w:rPr>
          <w:rFonts w:hint="eastAsia" w:ascii="宋体" w:hAnsi="宋体" w:eastAsia="宋体" w:cs="宋体"/>
          <w:spacing w:val="-1"/>
          <w:kern w:val="0"/>
          <w:sz w:val="21"/>
          <w:szCs w:val="21"/>
          <w:highlight w:val="none"/>
          <w:lang w:bidi="ar"/>
        </w:rPr>
        <w:t>扬尘</w:t>
      </w:r>
      <w:r>
        <w:rPr>
          <w:rFonts w:hint="eastAsia" w:ascii="宋体" w:hAnsi="宋体" w:eastAsia="宋体" w:cs="宋体"/>
          <w:spacing w:val="-1"/>
          <w:kern w:val="0"/>
          <w:sz w:val="21"/>
          <w:szCs w:val="21"/>
          <w:highlight w:val="none"/>
          <w:lang w:val="en-US" w:eastAsia="zh-CN" w:bidi="ar"/>
        </w:rPr>
        <w:t>防治</w:t>
      </w:r>
      <w:r>
        <w:rPr>
          <w:rFonts w:hint="eastAsia" w:ascii="宋体" w:hAnsi="宋体" w:eastAsia="宋体" w:cs="宋体"/>
          <w:spacing w:val="-1"/>
          <w:kern w:val="0"/>
          <w:sz w:val="21"/>
          <w:szCs w:val="21"/>
          <w:highlight w:val="none"/>
          <w:lang w:bidi="ar"/>
        </w:rPr>
        <w:t>工作职责，建立相应的责任制度和作业记录台帐。</w:t>
      </w:r>
    </w:p>
    <w:p w14:paraId="3B0A85F2">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val="en-US" w:eastAsia="zh-CN" w:bidi="ar"/>
        </w:rPr>
      </w:pPr>
      <w:r>
        <w:rPr>
          <w:rFonts w:hint="eastAsia" w:ascii="宋体" w:hAnsi="宋体" w:eastAsia="宋体" w:cs="宋体"/>
          <w:spacing w:val="-1"/>
          <w:kern w:val="0"/>
          <w:sz w:val="21"/>
          <w:szCs w:val="21"/>
          <w:highlight w:val="none"/>
          <w:lang w:val="en-US" w:eastAsia="zh-CN" w:bidi="ar"/>
        </w:rPr>
        <w:t>（三）乙方应做到</w:t>
      </w:r>
      <w:r>
        <w:rPr>
          <w:rFonts w:hint="eastAsia" w:ascii="宋体" w:hAnsi="宋体" w:eastAsia="宋体" w:cs="宋体"/>
          <w:spacing w:val="-1"/>
          <w:kern w:val="0"/>
          <w:sz w:val="21"/>
          <w:szCs w:val="21"/>
          <w:highlight w:val="none"/>
          <w:lang w:bidi="ar"/>
        </w:rPr>
        <w:t>建筑垃圾、生活垃圾分类存放，并应及时清理。</w:t>
      </w:r>
      <w:r>
        <w:rPr>
          <w:rFonts w:hint="eastAsia" w:ascii="宋体" w:hAnsi="宋体" w:eastAsia="宋体" w:cs="宋体"/>
          <w:spacing w:val="-1"/>
          <w:kern w:val="0"/>
          <w:sz w:val="21"/>
          <w:szCs w:val="21"/>
          <w:highlight w:val="none"/>
          <w:lang w:eastAsia="zh-CN" w:bidi="ar"/>
        </w:rPr>
        <w:t>建筑垃圾或渣土运输前，必须选定有资质的建筑垃圾或渣土运输公司并签订合同，</w:t>
      </w:r>
      <w:r>
        <w:rPr>
          <w:rFonts w:hint="eastAsia" w:ascii="宋体" w:hAnsi="宋体" w:eastAsia="宋体" w:cs="宋体"/>
          <w:spacing w:val="-1"/>
          <w:kern w:val="0"/>
          <w:sz w:val="21"/>
          <w:szCs w:val="21"/>
          <w:highlight w:val="none"/>
          <w:lang w:val="en-US" w:eastAsia="zh-CN" w:bidi="ar"/>
        </w:rPr>
        <w:t>同时</w:t>
      </w:r>
      <w:r>
        <w:rPr>
          <w:rFonts w:hint="eastAsia" w:ascii="宋体" w:hAnsi="宋体" w:eastAsia="宋体" w:cs="宋体"/>
          <w:spacing w:val="-1"/>
          <w:kern w:val="0"/>
          <w:sz w:val="21"/>
          <w:szCs w:val="21"/>
          <w:highlight w:val="none"/>
          <w:lang w:eastAsia="zh-CN" w:bidi="ar"/>
        </w:rPr>
        <w:t>在合同中明确防治扬尘污染条款。</w:t>
      </w:r>
    </w:p>
    <w:p w14:paraId="5ED90AE2">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四</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w:t>
      </w:r>
      <w:r>
        <w:rPr>
          <w:rFonts w:hint="eastAsia" w:ascii="宋体" w:hAnsi="宋体" w:eastAsia="宋体" w:cs="宋体"/>
          <w:spacing w:val="-1"/>
          <w:kern w:val="0"/>
          <w:sz w:val="21"/>
          <w:szCs w:val="21"/>
          <w:highlight w:val="none"/>
          <w:lang w:eastAsia="zh-CN" w:bidi="ar"/>
        </w:rPr>
        <w:t>存储和使用</w:t>
      </w:r>
      <w:r>
        <w:rPr>
          <w:rFonts w:hint="eastAsia" w:ascii="宋体" w:hAnsi="宋体" w:eastAsia="宋体" w:cs="宋体"/>
          <w:spacing w:val="-1"/>
          <w:kern w:val="0"/>
          <w:sz w:val="21"/>
          <w:szCs w:val="21"/>
          <w:highlight w:val="none"/>
          <w:lang w:val="en-US" w:eastAsia="zh-CN" w:bidi="ar"/>
        </w:rPr>
        <w:t>的</w:t>
      </w:r>
      <w:r>
        <w:rPr>
          <w:rFonts w:hint="eastAsia" w:ascii="宋体" w:hAnsi="宋体" w:eastAsia="宋体" w:cs="宋体"/>
          <w:spacing w:val="-1"/>
          <w:kern w:val="0"/>
          <w:sz w:val="21"/>
          <w:szCs w:val="21"/>
          <w:highlight w:val="none"/>
          <w:lang w:eastAsia="zh-CN" w:bidi="ar"/>
        </w:rPr>
        <w:t>油料应有防止污染土壤、水体和跑、冒、滴、漏措施。食堂污水应有隔油池，定期掏油。</w:t>
      </w:r>
    </w:p>
    <w:p w14:paraId="55E81C46">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五</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乙方应</w:t>
      </w:r>
      <w:r>
        <w:rPr>
          <w:rFonts w:hint="eastAsia" w:ascii="宋体" w:hAnsi="宋体" w:eastAsia="宋体" w:cs="宋体"/>
          <w:spacing w:val="-1"/>
          <w:kern w:val="0"/>
          <w:sz w:val="21"/>
          <w:szCs w:val="21"/>
          <w:highlight w:val="none"/>
          <w:lang w:eastAsia="zh-CN" w:bidi="ar"/>
        </w:rPr>
        <w:t>严格控制施工噪音排放，不影响社区、单位办公、居民休息。施工现场强噪声机具应采取有效封闭措施，人为活动噪声</w:t>
      </w:r>
      <w:r>
        <w:rPr>
          <w:rFonts w:hint="eastAsia" w:ascii="宋体" w:hAnsi="宋体" w:eastAsia="宋体" w:cs="宋体"/>
          <w:spacing w:val="-1"/>
          <w:kern w:val="0"/>
          <w:sz w:val="21"/>
          <w:szCs w:val="21"/>
          <w:highlight w:val="none"/>
          <w:lang w:val="en-US" w:eastAsia="zh-CN" w:bidi="ar"/>
        </w:rPr>
        <w:t>应制定有效</w:t>
      </w:r>
      <w:r>
        <w:rPr>
          <w:rFonts w:hint="eastAsia" w:ascii="宋体" w:hAnsi="宋体" w:eastAsia="宋体" w:cs="宋体"/>
          <w:spacing w:val="-1"/>
          <w:kern w:val="0"/>
          <w:sz w:val="21"/>
          <w:szCs w:val="21"/>
          <w:highlight w:val="none"/>
          <w:lang w:eastAsia="zh-CN" w:bidi="ar"/>
        </w:rPr>
        <w:t>控制措施。</w:t>
      </w:r>
    </w:p>
    <w:p w14:paraId="10F6DEE0">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六</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乙方在本工程项目</w:t>
      </w:r>
      <w:r>
        <w:rPr>
          <w:rFonts w:hint="eastAsia" w:ascii="宋体" w:hAnsi="宋体" w:eastAsia="宋体" w:cs="宋体"/>
          <w:spacing w:val="-1"/>
          <w:kern w:val="0"/>
          <w:sz w:val="21"/>
          <w:szCs w:val="21"/>
          <w:highlight w:val="none"/>
          <w:lang w:eastAsia="zh-CN" w:bidi="ar"/>
        </w:rPr>
        <w:t>不</w:t>
      </w:r>
      <w:r>
        <w:rPr>
          <w:rFonts w:hint="eastAsia" w:ascii="宋体" w:hAnsi="宋体" w:eastAsia="宋体" w:cs="宋体"/>
          <w:spacing w:val="-1"/>
          <w:kern w:val="0"/>
          <w:sz w:val="21"/>
          <w:szCs w:val="21"/>
          <w:highlight w:val="none"/>
          <w:lang w:val="en-US" w:eastAsia="zh-CN" w:bidi="ar"/>
        </w:rPr>
        <w:t>得</w:t>
      </w:r>
      <w:r>
        <w:rPr>
          <w:rFonts w:hint="eastAsia" w:ascii="宋体" w:hAnsi="宋体" w:eastAsia="宋体" w:cs="宋体"/>
          <w:spacing w:val="-1"/>
          <w:kern w:val="0"/>
          <w:sz w:val="21"/>
          <w:szCs w:val="21"/>
          <w:highlight w:val="none"/>
          <w:lang w:eastAsia="zh-CN" w:bidi="ar"/>
        </w:rPr>
        <w:t>使用国家、地方明令禁止或对社会环境产生重大影响的设施设备。</w:t>
      </w:r>
      <w:r>
        <w:rPr>
          <w:rFonts w:hint="eastAsia" w:ascii="宋体" w:hAnsi="宋体" w:eastAsia="宋体" w:cs="宋体"/>
          <w:spacing w:val="-1"/>
          <w:kern w:val="0"/>
          <w:sz w:val="21"/>
          <w:szCs w:val="21"/>
          <w:highlight w:val="none"/>
          <w:lang w:val="en-US" w:eastAsia="zh-CN" w:bidi="ar"/>
        </w:rPr>
        <w:t>保证柴油货车或非道路移动机械等机械设备尾气达标排放。</w:t>
      </w:r>
      <w:r>
        <w:rPr>
          <w:rFonts w:hint="eastAsia" w:ascii="宋体" w:hAnsi="宋体" w:eastAsia="宋体" w:cs="宋体"/>
          <w:spacing w:val="-1"/>
          <w:kern w:val="0"/>
          <w:sz w:val="21"/>
          <w:szCs w:val="21"/>
          <w:highlight w:val="none"/>
          <w:lang w:eastAsia="zh-CN" w:bidi="ar"/>
        </w:rPr>
        <w:t>所有自备工具、材料等环境影响特性均须符合环境环卫要求。</w:t>
      </w:r>
    </w:p>
    <w:p w14:paraId="7EFE4B97">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七</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乙方应</w:t>
      </w:r>
      <w:r>
        <w:rPr>
          <w:rFonts w:hint="eastAsia" w:ascii="宋体" w:hAnsi="宋体" w:eastAsia="宋体" w:cs="宋体"/>
          <w:spacing w:val="-1"/>
          <w:kern w:val="0"/>
          <w:sz w:val="21"/>
          <w:szCs w:val="21"/>
          <w:highlight w:val="none"/>
          <w:lang w:eastAsia="zh-CN" w:bidi="ar"/>
        </w:rPr>
        <w:t>对</w:t>
      </w:r>
      <w:r>
        <w:rPr>
          <w:rFonts w:hint="eastAsia" w:ascii="宋体" w:hAnsi="宋体" w:eastAsia="宋体" w:cs="宋体"/>
          <w:spacing w:val="-1"/>
          <w:kern w:val="0"/>
          <w:sz w:val="21"/>
          <w:szCs w:val="21"/>
          <w:highlight w:val="none"/>
          <w:lang w:val="en-US" w:eastAsia="zh-CN" w:bidi="ar"/>
        </w:rPr>
        <w:t>突发</w:t>
      </w:r>
      <w:r>
        <w:rPr>
          <w:rFonts w:hint="eastAsia" w:ascii="宋体" w:hAnsi="宋体" w:eastAsia="宋体" w:cs="宋体"/>
          <w:spacing w:val="-1"/>
          <w:kern w:val="0"/>
          <w:sz w:val="21"/>
          <w:szCs w:val="21"/>
          <w:highlight w:val="none"/>
          <w:lang w:eastAsia="zh-CN" w:bidi="ar"/>
        </w:rPr>
        <w:t>的环境</w:t>
      </w:r>
      <w:r>
        <w:rPr>
          <w:rFonts w:hint="eastAsia" w:ascii="宋体" w:hAnsi="宋体" w:eastAsia="宋体" w:cs="宋体"/>
          <w:spacing w:val="-1"/>
          <w:kern w:val="0"/>
          <w:sz w:val="21"/>
          <w:szCs w:val="21"/>
          <w:highlight w:val="none"/>
          <w:lang w:val="en-US" w:eastAsia="zh-CN" w:bidi="ar"/>
        </w:rPr>
        <w:t>保护</w:t>
      </w:r>
      <w:r>
        <w:rPr>
          <w:rFonts w:hint="eastAsia" w:ascii="宋体" w:hAnsi="宋体" w:eastAsia="宋体" w:cs="宋体"/>
          <w:spacing w:val="-1"/>
          <w:kern w:val="0"/>
          <w:sz w:val="21"/>
          <w:szCs w:val="21"/>
          <w:highlight w:val="none"/>
          <w:lang w:eastAsia="zh-CN" w:bidi="ar"/>
        </w:rPr>
        <w:t>事故、</w:t>
      </w:r>
      <w:r>
        <w:rPr>
          <w:rFonts w:hint="eastAsia" w:ascii="宋体" w:hAnsi="宋体" w:eastAsia="宋体" w:cs="宋体"/>
          <w:spacing w:val="-1"/>
          <w:kern w:val="0"/>
          <w:sz w:val="21"/>
          <w:szCs w:val="21"/>
          <w:highlight w:val="none"/>
          <w:lang w:val="en-US" w:eastAsia="zh-CN" w:bidi="ar"/>
        </w:rPr>
        <w:t>事件</w:t>
      </w:r>
      <w:r>
        <w:rPr>
          <w:rFonts w:hint="eastAsia" w:ascii="宋体" w:hAnsi="宋体" w:eastAsia="宋体" w:cs="宋体"/>
          <w:spacing w:val="-1"/>
          <w:kern w:val="0"/>
          <w:sz w:val="21"/>
          <w:szCs w:val="21"/>
          <w:highlight w:val="none"/>
          <w:lang w:eastAsia="zh-CN" w:bidi="ar"/>
        </w:rPr>
        <w:t>应按照规定逐级上报，并</w:t>
      </w:r>
      <w:r>
        <w:rPr>
          <w:rFonts w:hint="eastAsia" w:ascii="宋体" w:hAnsi="宋体" w:eastAsia="宋体" w:cs="宋体"/>
          <w:spacing w:val="-1"/>
          <w:kern w:val="0"/>
          <w:sz w:val="21"/>
          <w:szCs w:val="21"/>
          <w:highlight w:val="none"/>
          <w:lang w:val="en-US" w:eastAsia="zh-CN" w:bidi="ar"/>
        </w:rPr>
        <w:t>负责应急</w:t>
      </w:r>
      <w:r>
        <w:rPr>
          <w:rFonts w:hint="eastAsia" w:ascii="宋体" w:hAnsi="宋体" w:eastAsia="宋体" w:cs="宋体"/>
          <w:spacing w:val="-1"/>
          <w:kern w:val="0"/>
          <w:sz w:val="21"/>
          <w:szCs w:val="21"/>
          <w:highlight w:val="none"/>
          <w:lang w:eastAsia="zh-CN" w:bidi="ar"/>
        </w:rPr>
        <w:t>处置。</w:t>
      </w:r>
    </w:p>
    <w:p w14:paraId="12C6024F">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val="en-US"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八</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w:t>
      </w:r>
      <w:r>
        <w:rPr>
          <w:rFonts w:hint="eastAsia" w:ascii="宋体" w:hAnsi="宋体" w:eastAsia="宋体" w:cs="宋体"/>
          <w:spacing w:val="-1"/>
          <w:kern w:val="0"/>
          <w:sz w:val="21"/>
          <w:szCs w:val="21"/>
          <w:highlight w:val="none"/>
          <w:lang w:eastAsia="zh-CN" w:bidi="ar"/>
        </w:rPr>
        <w:t>应做到</w:t>
      </w:r>
      <w:r>
        <w:rPr>
          <w:rFonts w:hint="eastAsia" w:ascii="宋体" w:hAnsi="宋体" w:eastAsia="宋体" w:cs="宋体"/>
          <w:spacing w:val="-1"/>
          <w:kern w:val="0"/>
          <w:sz w:val="21"/>
          <w:szCs w:val="21"/>
          <w:highlight w:val="none"/>
          <w:lang w:val="en-US" w:eastAsia="zh-CN" w:bidi="ar"/>
        </w:rPr>
        <w:t>扬尘防治</w:t>
      </w:r>
      <w:r>
        <w:rPr>
          <w:rFonts w:hint="eastAsia" w:ascii="宋体" w:hAnsi="宋体" w:eastAsia="宋体" w:cs="宋体"/>
          <w:spacing w:val="-1"/>
          <w:kern w:val="0"/>
          <w:sz w:val="21"/>
          <w:szCs w:val="21"/>
          <w:highlight w:val="none"/>
          <w:lang w:eastAsia="zh-CN" w:bidi="ar"/>
        </w:rPr>
        <w:t>“六个百分之百”，</w:t>
      </w:r>
      <w:r>
        <w:rPr>
          <w:rFonts w:hint="eastAsia" w:ascii="宋体" w:hAnsi="宋体" w:eastAsia="宋体" w:cs="宋体"/>
          <w:spacing w:val="-1"/>
          <w:kern w:val="0"/>
          <w:sz w:val="21"/>
          <w:szCs w:val="21"/>
          <w:highlight w:val="none"/>
          <w:lang w:val="en-US" w:eastAsia="zh-CN" w:bidi="ar"/>
        </w:rPr>
        <w:t>即：</w:t>
      </w:r>
      <w:r>
        <w:rPr>
          <w:rFonts w:hint="eastAsia" w:ascii="宋体" w:hAnsi="宋体" w:eastAsia="宋体" w:cs="宋体"/>
          <w:spacing w:val="-1"/>
          <w:kern w:val="0"/>
          <w:sz w:val="21"/>
          <w:szCs w:val="21"/>
          <w:highlight w:val="none"/>
          <w:lang w:eastAsia="zh-CN" w:bidi="ar"/>
        </w:rPr>
        <w:t>工地周边围挡、物料堆放覆盖、土方开挖湿法作业、主要道路硬化、出入车辆清洗、渣土车辆密闭运输，</w:t>
      </w:r>
      <w:r>
        <w:rPr>
          <w:rFonts w:hint="eastAsia" w:ascii="宋体" w:hAnsi="宋体" w:eastAsia="宋体" w:cs="宋体"/>
          <w:spacing w:val="-1"/>
          <w:kern w:val="0"/>
          <w:sz w:val="21"/>
          <w:szCs w:val="21"/>
          <w:highlight w:val="none"/>
          <w:lang w:val="en-US" w:eastAsia="zh-CN" w:bidi="ar"/>
        </w:rPr>
        <w:t>并满足</w:t>
      </w:r>
      <w:r>
        <w:rPr>
          <w:rFonts w:hint="eastAsia" w:ascii="宋体" w:hAnsi="宋体" w:eastAsia="宋体" w:cs="宋体"/>
          <w:sz w:val="21"/>
          <w:szCs w:val="21"/>
          <w:highlight w:val="none"/>
          <w:lang w:eastAsia="zh-CN" w:bidi="ar"/>
        </w:rPr>
        <w:t>《关于做好连云港市施工围挡设置和管理工作的意见》(连政办发〔</w:t>
      </w:r>
      <w:r>
        <w:rPr>
          <w:rFonts w:hint="eastAsia" w:ascii="宋体" w:hAnsi="宋体" w:eastAsia="宋体" w:cs="宋体"/>
          <w:sz w:val="21"/>
          <w:szCs w:val="21"/>
          <w:highlight w:val="none"/>
          <w:lang w:val="en-US" w:eastAsia="zh-CN" w:bidi="ar"/>
        </w:rPr>
        <w:t>2018</w:t>
      </w:r>
      <w:r>
        <w:rPr>
          <w:rFonts w:hint="eastAsia" w:ascii="宋体" w:hAnsi="宋体" w:eastAsia="宋体" w:cs="宋体"/>
          <w:sz w:val="21"/>
          <w:szCs w:val="21"/>
          <w:highlight w:val="none"/>
          <w:lang w:eastAsia="zh-CN" w:bidi="ar"/>
        </w:rPr>
        <w:t>〕147号)、</w:t>
      </w:r>
      <w:r>
        <w:rPr>
          <w:rFonts w:hint="eastAsia" w:ascii="宋体" w:hAnsi="宋体" w:eastAsia="宋体" w:cs="宋体"/>
          <w:sz w:val="21"/>
          <w:szCs w:val="21"/>
          <w:highlight w:val="none"/>
          <w:lang w:bidi="ar"/>
        </w:rPr>
        <w:t>《徐圩新区建筑工地扬尘管控工作方案(2020版)》</w:t>
      </w:r>
      <w:r>
        <w:rPr>
          <w:rFonts w:hint="eastAsia" w:ascii="宋体" w:hAnsi="宋体" w:eastAsia="宋体" w:cs="宋体"/>
          <w:sz w:val="21"/>
          <w:szCs w:val="21"/>
          <w:highlight w:val="none"/>
          <w:lang w:eastAsia="zh-CN" w:bidi="ar"/>
        </w:rPr>
        <w:t>（示范区建发〔2020〕93号）</w:t>
      </w:r>
      <w:r>
        <w:rPr>
          <w:rFonts w:hint="eastAsia" w:ascii="宋体" w:hAnsi="宋体" w:eastAsia="宋体" w:cs="宋体"/>
          <w:sz w:val="21"/>
          <w:szCs w:val="21"/>
          <w:highlight w:val="none"/>
          <w:lang w:val="en-US" w:eastAsia="zh-CN" w:bidi="ar"/>
        </w:rPr>
        <w:t>相关要求。</w:t>
      </w:r>
    </w:p>
    <w:p w14:paraId="16DC71DB">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九</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乙方应在施工过程当中应落实</w:t>
      </w:r>
      <w:r>
        <w:rPr>
          <w:rFonts w:hint="eastAsia" w:ascii="宋体" w:hAnsi="宋体" w:eastAsia="宋体" w:cs="宋体"/>
          <w:spacing w:val="-1"/>
          <w:kern w:val="0"/>
          <w:sz w:val="21"/>
          <w:szCs w:val="21"/>
          <w:highlight w:val="none"/>
          <w:lang w:eastAsia="zh-CN" w:bidi="ar"/>
        </w:rPr>
        <w:t>工地喷淋、洒水抑尘设施全覆盖</w:t>
      </w:r>
      <w:r>
        <w:rPr>
          <w:rFonts w:hint="eastAsia" w:ascii="宋体" w:hAnsi="宋体" w:eastAsia="宋体" w:cs="宋体"/>
          <w:spacing w:val="-1"/>
          <w:kern w:val="0"/>
          <w:sz w:val="21"/>
          <w:szCs w:val="21"/>
          <w:highlight w:val="none"/>
          <w:lang w:val="en-US" w:eastAsia="zh-CN" w:bidi="ar"/>
        </w:rPr>
        <w:t>等措施</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z w:val="21"/>
          <w:szCs w:val="21"/>
          <w:highlight w:val="none"/>
          <w:lang w:bidi="ar"/>
        </w:rPr>
        <w:t>建筑垃圾、工地运输车辆、混凝土罐车、渣土运输处置</w:t>
      </w:r>
      <w:r>
        <w:rPr>
          <w:rFonts w:hint="eastAsia" w:ascii="宋体" w:hAnsi="宋体" w:eastAsia="宋体" w:cs="宋体"/>
          <w:sz w:val="21"/>
          <w:szCs w:val="21"/>
          <w:highlight w:val="none"/>
          <w:lang w:val="en-US" w:eastAsia="zh-CN" w:bidi="ar"/>
        </w:rPr>
        <w:t>过程当中，</w:t>
      </w:r>
      <w:r>
        <w:rPr>
          <w:rFonts w:hint="eastAsia" w:ascii="宋体" w:hAnsi="宋体" w:eastAsia="宋体" w:cs="宋体"/>
          <w:sz w:val="21"/>
          <w:szCs w:val="21"/>
          <w:highlight w:val="none"/>
          <w:lang w:bidi="ar"/>
        </w:rPr>
        <w:t>禁止抛洒滴漏。</w:t>
      </w:r>
    </w:p>
    <w:p w14:paraId="2476EDDF">
      <w:pPr>
        <w:adjustRightInd w:val="0"/>
        <w:snapToGrid w:val="0"/>
        <w:spacing w:line="360" w:lineRule="auto"/>
        <w:ind w:firstLine="416" w:firstLineChars="200"/>
        <w:jc w:val="both"/>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十</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val="en-US" w:eastAsia="zh-CN" w:bidi="ar"/>
        </w:rPr>
        <w:t>乙方应</w:t>
      </w:r>
      <w:r>
        <w:rPr>
          <w:rFonts w:hint="eastAsia" w:ascii="宋体" w:hAnsi="宋体" w:eastAsia="宋体" w:cs="宋体"/>
          <w:spacing w:val="-1"/>
          <w:kern w:val="0"/>
          <w:sz w:val="21"/>
          <w:szCs w:val="21"/>
          <w:highlight w:val="none"/>
          <w:lang w:eastAsia="zh-CN" w:bidi="ar"/>
        </w:rPr>
        <w:t>安装覆盖全部施工现场的远程视频监控和符合要求的扬尘在线监测设备，积极实施绿色智慧工地建设。</w:t>
      </w:r>
    </w:p>
    <w:p w14:paraId="5F46CA42">
      <w:pPr>
        <w:numPr>
          <w:ilvl w:val="0"/>
          <w:numId w:val="4"/>
        </w:numPr>
        <w:adjustRightInd w:val="0"/>
        <w:snapToGrid w:val="0"/>
        <w:spacing w:line="360" w:lineRule="auto"/>
        <w:ind w:firstLine="422" w:firstLineChars="200"/>
        <w:jc w:val="left"/>
        <w:rPr>
          <w:rFonts w:hint="eastAsia" w:ascii="宋体" w:hAnsi="宋体" w:eastAsia="宋体" w:cs="宋体"/>
          <w:b/>
          <w:sz w:val="21"/>
          <w:szCs w:val="21"/>
          <w:highlight w:val="none"/>
          <w:lang w:val="en-US" w:eastAsia="zh-CN" w:bidi="ar"/>
        </w:rPr>
      </w:pPr>
      <w:r>
        <w:rPr>
          <w:rFonts w:hint="eastAsia" w:ascii="宋体" w:hAnsi="宋体" w:eastAsia="宋体" w:cs="宋体"/>
          <w:b/>
          <w:sz w:val="21"/>
          <w:szCs w:val="21"/>
          <w:highlight w:val="none"/>
          <w:lang w:val="en-US" w:eastAsia="zh-CN" w:bidi="ar"/>
        </w:rPr>
        <w:t>对乙方的违约索赔条款</w:t>
      </w:r>
    </w:p>
    <w:p w14:paraId="2B3CE91A">
      <w:pPr>
        <w:numPr>
          <w:ilvl w:val="0"/>
          <w:numId w:val="0"/>
        </w:numPr>
        <w:adjustRightInd w:val="0"/>
        <w:snapToGrid w:val="0"/>
        <w:spacing w:line="360" w:lineRule="auto"/>
        <w:ind w:firstLine="416" w:firstLineChars="200"/>
        <w:jc w:val="left"/>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val="en-US" w:eastAsia="zh-CN" w:bidi="ar"/>
        </w:rPr>
        <w:t>（一）</w:t>
      </w:r>
      <w:r>
        <w:rPr>
          <w:rFonts w:hint="eastAsia" w:ascii="宋体" w:hAnsi="宋体" w:eastAsia="宋体" w:cs="宋体"/>
          <w:sz w:val="21"/>
          <w:szCs w:val="21"/>
          <w:highlight w:val="none"/>
          <w:lang w:bidi="ar"/>
        </w:rPr>
        <w:t>如乙方</w:t>
      </w:r>
      <w:r>
        <w:rPr>
          <w:rFonts w:hint="eastAsia" w:ascii="宋体" w:hAnsi="宋体" w:eastAsia="宋体" w:cs="宋体"/>
          <w:sz w:val="21"/>
          <w:szCs w:val="21"/>
          <w:highlight w:val="none"/>
          <w:lang w:val="en-US" w:eastAsia="zh-CN" w:bidi="ar"/>
        </w:rPr>
        <w:t>的环境保护与扬尘防治管理工作</w:t>
      </w:r>
      <w:r>
        <w:rPr>
          <w:rFonts w:hint="eastAsia" w:ascii="宋体" w:hAnsi="宋体" w:eastAsia="宋体" w:cs="宋体"/>
          <w:sz w:val="21"/>
          <w:szCs w:val="21"/>
          <w:highlight w:val="none"/>
          <w:lang w:bidi="ar"/>
        </w:rPr>
        <w:t>未按照本协议要求执行，并在</w:t>
      </w:r>
      <w:r>
        <w:rPr>
          <w:rFonts w:hint="eastAsia" w:ascii="宋体" w:hAnsi="宋体" w:eastAsia="宋体" w:cs="宋体"/>
          <w:spacing w:val="-1"/>
          <w:kern w:val="0"/>
          <w:sz w:val="21"/>
          <w:szCs w:val="21"/>
          <w:highlight w:val="none"/>
          <w:lang w:bidi="ar"/>
        </w:rPr>
        <w:t>一年内被甲方及相关主管部门查实达3次及上的</w:t>
      </w:r>
      <w:r>
        <w:rPr>
          <w:rFonts w:hint="eastAsia" w:ascii="宋体" w:hAnsi="宋体" w:eastAsia="宋体" w:cs="宋体"/>
          <w:spacing w:val="-1"/>
          <w:kern w:val="0"/>
          <w:sz w:val="21"/>
          <w:szCs w:val="21"/>
          <w:highlight w:val="none"/>
          <w:lang w:eastAsia="zh-CN" w:bidi="ar"/>
        </w:rPr>
        <w:t>，</w:t>
      </w:r>
      <w:r>
        <w:rPr>
          <w:rFonts w:hint="eastAsia" w:ascii="宋体" w:hAnsi="宋体" w:eastAsia="宋体" w:cs="宋体"/>
          <w:spacing w:val="-1"/>
          <w:kern w:val="0"/>
          <w:sz w:val="21"/>
          <w:szCs w:val="21"/>
          <w:highlight w:val="none"/>
          <w:lang w:bidi="ar"/>
        </w:rPr>
        <w:t>甲方将上报相关行政主管部门</w:t>
      </w:r>
      <w:r>
        <w:rPr>
          <w:rFonts w:hint="eastAsia" w:ascii="宋体" w:hAnsi="宋体" w:eastAsia="宋体" w:cs="宋体"/>
          <w:spacing w:val="-1"/>
          <w:kern w:val="0"/>
          <w:sz w:val="21"/>
          <w:szCs w:val="21"/>
          <w:highlight w:val="none"/>
          <w:lang w:val="en-US" w:eastAsia="zh-CN" w:bidi="ar"/>
        </w:rPr>
        <w:t>进行处置</w:t>
      </w:r>
      <w:r>
        <w:rPr>
          <w:rFonts w:hint="eastAsia" w:ascii="宋体" w:hAnsi="宋体" w:eastAsia="宋体" w:cs="宋体"/>
          <w:spacing w:val="-1"/>
          <w:kern w:val="0"/>
          <w:sz w:val="21"/>
          <w:szCs w:val="21"/>
          <w:highlight w:val="none"/>
          <w:lang w:eastAsia="zh-CN" w:bidi="ar"/>
        </w:rPr>
        <w:t>。</w:t>
      </w:r>
    </w:p>
    <w:p w14:paraId="7A14DCD7">
      <w:pPr>
        <w:numPr>
          <w:ilvl w:val="0"/>
          <w:numId w:val="0"/>
        </w:numPr>
        <w:adjustRightInd w:val="0"/>
        <w:snapToGrid w:val="0"/>
        <w:spacing w:line="360" w:lineRule="auto"/>
        <w:ind w:firstLine="416" w:firstLineChars="200"/>
        <w:jc w:val="left"/>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val="en-US" w:eastAsia="zh-CN" w:bidi="ar"/>
        </w:rPr>
        <w:t>（二）</w:t>
      </w:r>
      <w:r>
        <w:rPr>
          <w:rFonts w:hint="eastAsia" w:ascii="宋体" w:hAnsi="宋体" w:eastAsia="宋体" w:cs="宋体"/>
          <w:spacing w:val="-1"/>
          <w:kern w:val="0"/>
          <w:sz w:val="21"/>
          <w:szCs w:val="21"/>
          <w:highlight w:val="none"/>
          <w:lang w:eastAsia="zh-CN" w:bidi="ar"/>
        </w:rPr>
        <w:t>发生环境</w:t>
      </w:r>
      <w:r>
        <w:rPr>
          <w:rFonts w:hint="eastAsia" w:ascii="宋体" w:hAnsi="宋体" w:eastAsia="宋体" w:cs="宋体"/>
          <w:spacing w:val="-1"/>
          <w:kern w:val="0"/>
          <w:sz w:val="21"/>
          <w:szCs w:val="21"/>
          <w:highlight w:val="none"/>
          <w:lang w:val="en-US" w:eastAsia="zh-CN" w:bidi="ar"/>
        </w:rPr>
        <w:t>污染</w:t>
      </w:r>
      <w:r>
        <w:rPr>
          <w:rFonts w:hint="eastAsia" w:ascii="宋体" w:hAnsi="宋体" w:eastAsia="宋体" w:cs="宋体"/>
          <w:spacing w:val="-1"/>
          <w:kern w:val="0"/>
          <w:sz w:val="21"/>
          <w:szCs w:val="21"/>
          <w:highlight w:val="none"/>
          <w:lang w:eastAsia="zh-CN" w:bidi="ar"/>
        </w:rPr>
        <w:t>事故、事件，造成社会不良影响，或给甲方造成经济、名誉损失的，每起</w:t>
      </w:r>
      <w:r>
        <w:rPr>
          <w:rFonts w:hint="eastAsia" w:ascii="宋体" w:hAnsi="宋体" w:eastAsia="宋体" w:cs="宋体"/>
          <w:spacing w:val="-1"/>
          <w:kern w:val="0"/>
          <w:sz w:val="21"/>
          <w:szCs w:val="21"/>
          <w:highlight w:val="none"/>
          <w:lang w:val="en-US" w:eastAsia="zh-CN" w:bidi="ar"/>
        </w:rPr>
        <w:t>按</w:t>
      </w:r>
      <w:r>
        <w:rPr>
          <w:rFonts w:hint="eastAsia" w:ascii="宋体" w:hAnsi="宋体" w:eastAsia="宋体" w:cs="宋体"/>
          <w:sz w:val="21"/>
          <w:szCs w:val="21"/>
          <w:highlight w:val="none"/>
          <w:lang w:eastAsia="zh-CN" w:bidi="ar"/>
        </w:rPr>
        <w:t>100000元</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pacing w:val="-1"/>
          <w:kern w:val="0"/>
          <w:sz w:val="21"/>
          <w:szCs w:val="21"/>
          <w:highlight w:val="none"/>
          <w:lang w:eastAsia="zh-CN" w:bidi="ar"/>
        </w:rPr>
        <w:t>。</w:t>
      </w:r>
    </w:p>
    <w:p w14:paraId="5DFDC104">
      <w:pPr>
        <w:numPr>
          <w:ilvl w:val="0"/>
          <w:numId w:val="0"/>
        </w:numPr>
        <w:adjustRightInd w:val="0"/>
        <w:snapToGrid w:val="0"/>
        <w:spacing w:line="360" w:lineRule="auto"/>
        <w:ind w:firstLine="416" w:firstLineChars="200"/>
        <w:jc w:val="left"/>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val="en-US" w:eastAsia="zh-CN" w:bidi="ar"/>
        </w:rPr>
        <w:t>（三）</w:t>
      </w:r>
      <w:r>
        <w:rPr>
          <w:rFonts w:hint="eastAsia" w:ascii="宋体" w:hAnsi="宋体" w:eastAsia="宋体" w:cs="宋体"/>
          <w:spacing w:val="-1"/>
          <w:kern w:val="0"/>
          <w:sz w:val="21"/>
          <w:szCs w:val="21"/>
          <w:highlight w:val="none"/>
          <w:lang w:eastAsia="zh-CN" w:bidi="ar"/>
        </w:rPr>
        <w:t>建筑垃圾未按要求与符合资质的处置单位签订协议，或者随意交给个人或未经核准的单位处置的，</w:t>
      </w:r>
      <w:r>
        <w:rPr>
          <w:rFonts w:hint="eastAsia" w:ascii="宋体" w:hAnsi="宋体" w:eastAsia="宋体" w:cs="宋体"/>
          <w:color w:val="auto"/>
          <w:sz w:val="21"/>
          <w:szCs w:val="21"/>
          <w:highlight w:val="none"/>
          <w:lang w:val="en-US" w:eastAsia="zh-CN"/>
        </w:rPr>
        <w:t>按</w:t>
      </w:r>
      <w:r>
        <w:rPr>
          <w:rFonts w:hint="eastAsia" w:ascii="宋体" w:hAnsi="宋体" w:eastAsia="宋体" w:cs="宋体"/>
          <w:spacing w:val="-1"/>
          <w:kern w:val="0"/>
          <w:sz w:val="21"/>
          <w:szCs w:val="21"/>
          <w:highlight w:val="none"/>
          <w:lang w:val="en-US" w:eastAsia="zh-CN" w:bidi="ar"/>
        </w:rPr>
        <w:t>1</w:t>
      </w:r>
      <w:r>
        <w:rPr>
          <w:rFonts w:hint="eastAsia" w:ascii="宋体" w:hAnsi="宋体" w:eastAsia="宋体" w:cs="宋体"/>
          <w:spacing w:val="-1"/>
          <w:kern w:val="0"/>
          <w:sz w:val="21"/>
          <w:szCs w:val="21"/>
          <w:highlight w:val="none"/>
          <w:lang w:eastAsia="zh-CN" w:bidi="ar"/>
        </w:rPr>
        <w:t>0000元/起</w:t>
      </w:r>
      <w:r>
        <w:rPr>
          <w:rFonts w:hint="eastAsia" w:ascii="宋体" w:hAnsi="宋体" w:eastAsia="宋体" w:cs="宋体"/>
          <w:spacing w:val="-1"/>
          <w:kern w:val="0"/>
          <w:sz w:val="21"/>
          <w:szCs w:val="21"/>
          <w:highlight w:val="none"/>
          <w:lang w:val="en-US" w:eastAsia="zh-CN" w:bidi="ar"/>
        </w:rPr>
        <w:t>支付违约金</w:t>
      </w:r>
      <w:r>
        <w:rPr>
          <w:rFonts w:hint="eastAsia" w:ascii="宋体" w:hAnsi="宋体" w:eastAsia="宋体" w:cs="宋体"/>
          <w:spacing w:val="-1"/>
          <w:kern w:val="0"/>
          <w:sz w:val="21"/>
          <w:szCs w:val="21"/>
          <w:highlight w:val="none"/>
          <w:lang w:eastAsia="zh-CN" w:bidi="ar"/>
        </w:rPr>
        <w:t>。</w:t>
      </w:r>
    </w:p>
    <w:p w14:paraId="0016C3E6">
      <w:pPr>
        <w:numPr>
          <w:ilvl w:val="0"/>
          <w:numId w:val="0"/>
        </w:numPr>
        <w:adjustRightInd w:val="0"/>
        <w:snapToGrid w:val="0"/>
        <w:spacing w:line="360" w:lineRule="auto"/>
        <w:ind w:firstLine="416" w:firstLineChars="200"/>
        <w:jc w:val="left"/>
        <w:rPr>
          <w:rFonts w:hint="eastAsia" w:ascii="宋体" w:hAnsi="宋体" w:eastAsia="宋体" w:cs="宋体"/>
          <w:spacing w:val="-1"/>
          <w:kern w:val="0"/>
          <w:sz w:val="21"/>
          <w:szCs w:val="21"/>
          <w:highlight w:val="none"/>
          <w:lang w:eastAsia="zh-CN" w:bidi="ar"/>
        </w:rPr>
      </w:pPr>
      <w:r>
        <w:rPr>
          <w:rFonts w:hint="eastAsia" w:ascii="宋体" w:hAnsi="宋体" w:eastAsia="宋体" w:cs="宋体"/>
          <w:spacing w:val="-1"/>
          <w:kern w:val="0"/>
          <w:sz w:val="21"/>
          <w:szCs w:val="21"/>
          <w:highlight w:val="none"/>
          <w:lang w:val="en-US" w:eastAsia="zh-CN" w:bidi="ar"/>
        </w:rPr>
        <w:t>（四）危险废物</w:t>
      </w:r>
      <w:r>
        <w:rPr>
          <w:rFonts w:hint="eastAsia" w:ascii="宋体" w:hAnsi="宋体" w:eastAsia="宋体" w:cs="宋体"/>
          <w:spacing w:val="-1"/>
          <w:kern w:val="0"/>
          <w:sz w:val="21"/>
          <w:szCs w:val="21"/>
          <w:highlight w:val="none"/>
          <w:lang w:eastAsia="zh-CN" w:bidi="ar"/>
        </w:rPr>
        <w:t>未按要求与符合资质的处置单位签订协议，或者随意交给个人或未经核准的单位处置的，</w:t>
      </w:r>
      <w:r>
        <w:rPr>
          <w:rFonts w:hint="eastAsia" w:ascii="宋体" w:hAnsi="宋体" w:eastAsia="宋体" w:cs="宋体"/>
          <w:spacing w:val="-1"/>
          <w:kern w:val="0"/>
          <w:sz w:val="21"/>
          <w:szCs w:val="21"/>
          <w:highlight w:val="none"/>
          <w:lang w:val="en-US" w:eastAsia="zh-CN" w:bidi="ar"/>
        </w:rPr>
        <w:t>按2</w:t>
      </w:r>
      <w:r>
        <w:rPr>
          <w:rFonts w:hint="eastAsia" w:ascii="宋体" w:hAnsi="宋体" w:eastAsia="宋体" w:cs="宋体"/>
          <w:spacing w:val="-1"/>
          <w:kern w:val="0"/>
          <w:sz w:val="21"/>
          <w:szCs w:val="21"/>
          <w:highlight w:val="none"/>
          <w:lang w:eastAsia="zh-CN" w:bidi="ar"/>
        </w:rPr>
        <w:t>0000元/起</w:t>
      </w:r>
      <w:r>
        <w:rPr>
          <w:rFonts w:hint="eastAsia" w:ascii="宋体" w:hAnsi="宋体" w:eastAsia="宋体" w:cs="宋体"/>
          <w:spacing w:val="-1"/>
          <w:kern w:val="0"/>
          <w:sz w:val="21"/>
          <w:szCs w:val="21"/>
          <w:highlight w:val="none"/>
          <w:lang w:val="en-US" w:eastAsia="zh-CN" w:bidi="ar"/>
        </w:rPr>
        <w:t>支付违约金</w:t>
      </w:r>
      <w:r>
        <w:rPr>
          <w:rFonts w:hint="eastAsia" w:ascii="宋体" w:hAnsi="宋体" w:eastAsia="宋体" w:cs="宋体"/>
          <w:spacing w:val="-1"/>
          <w:kern w:val="0"/>
          <w:sz w:val="21"/>
          <w:szCs w:val="21"/>
          <w:highlight w:val="none"/>
          <w:lang w:eastAsia="zh-CN" w:bidi="ar"/>
        </w:rPr>
        <w:t>。</w:t>
      </w:r>
    </w:p>
    <w:p w14:paraId="519B7FF0">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（五）</w:t>
      </w:r>
      <w:r>
        <w:rPr>
          <w:rFonts w:hint="eastAsia" w:ascii="宋体" w:hAnsi="宋体" w:eastAsia="宋体" w:cs="宋体"/>
          <w:spacing w:val="-1"/>
          <w:kern w:val="0"/>
          <w:sz w:val="21"/>
          <w:szCs w:val="21"/>
          <w:highlight w:val="none"/>
          <w:lang w:eastAsia="zh-CN" w:bidi="ar"/>
        </w:rPr>
        <w:t>建筑垃圾未经核准，擅自以填埋、焚烧、倾倒等方式处置或者处置超出核准范围的，按10000元/起</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pacing w:val="-1"/>
          <w:kern w:val="0"/>
          <w:sz w:val="21"/>
          <w:szCs w:val="21"/>
          <w:highlight w:val="none"/>
          <w:lang w:eastAsia="zh-CN" w:bidi="ar"/>
        </w:rPr>
        <w:t>。</w:t>
      </w:r>
    </w:p>
    <w:p w14:paraId="0A0F0053">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（六）</w:t>
      </w:r>
      <w:r>
        <w:rPr>
          <w:rFonts w:hint="eastAsia" w:ascii="宋体" w:hAnsi="宋体" w:eastAsia="宋体" w:cs="宋体"/>
          <w:sz w:val="21"/>
          <w:szCs w:val="21"/>
          <w:highlight w:val="none"/>
          <w:lang w:val="en-US" w:eastAsia="zh-CN" w:bidi="ar"/>
        </w:rPr>
        <w:t>因环境保护和扬尘防治问题，</w:t>
      </w:r>
      <w:r>
        <w:rPr>
          <w:rFonts w:hint="eastAsia" w:ascii="宋体" w:hAnsi="宋体" w:eastAsia="宋体" w:cs="宋体"/>
          <w:sz w:val="21"/>
          <w:szCs w:val="21"/>
          <w:highlight w:val="none"/>
          <w:lang w:bidi="ar"/>
        </w:rPr>
        <w:t>被</w:t>
      </w:r>
      <w:r>
        <w:rPr>
          <w:rFonts w:hint="eastAsia" w:ascii="宋体" w:hAnsi="宋体" w:eastAsia="宋体" w:cs="宋体"/>
          <w:sz w:val="21"/>
          <w:szCs w:val="21"/>
          <w:highlight w:val="none"/>
          <w:lang w:val="en-US" w:eastAsia="zh-CN" w:bidi="ar"/>
        </w:rPr>
        <w:t>省级政府主管部门或</w:t>
      </w:r>
      <w:r>
        <w:rPr>
          <w:rFonts w:hint="eastAsia" w:ascii="宋体" w:hAnsi="宋体" w:eastAsia="宋体" w:cs="宋体"/>
          <w:sz w:val="21"/>
          <w:szCs w:val="21"/>
          <w:highlight w:val="none"/>
          <w:lang w:bidi="ar"/>
        </w:rPr>
        <w:t>相关主管部门查实</w:t>
      </w:r>
      <w:r>
        <w:rPr>
          <w:rFonts w:hint="eastAsia" w:ascii="宋体" w:hAnsi="宋体" w:eastAsia="宋体" w:cs="宋体"/>
          <w:sz w:val="21"/>
          <w:szCs w:val="21"/>
          <w:highlight w:val="none"/>
          <w:lang w:val="en-US" w:eastAsia="zh-CN" w:bidi="ar"/>
        </w:rPr>
        <w:t>并通报</w:t>
      </w:r>
      <w:r>
        <w:rPr>
          <w:rFonts w:hint="eastAsia" w:ascii="宋体" w:hAnsi="宋体" w:eastAsia="宋体" w:cs="宋体"/>
          <w:sz w:val="21"/>
          <w:szCs w:val="21"/>
          <w:highlight w:val="none"/>
          <w:lang w:bidi="ar"/>
        </w:rPr>
        <w:t>的，</w:t>
      </w:r>
      <w:r>
        <w:rPr>
          <w:rFonts w:hint="eastAsia" w:ascii="宋体" w:hAnsi="宋体" w:eastAsia="宋体" w:cs="宋体"/>
          <w:sz w:val="21"/>
          <w:szCs w:val="21"/>
          <w:highlight w:val="none"/>
          <w:lang w:val="en-US" w:eastAsia="zh-CN" w:bidi="ar"/>
        </w:rPr>
        <w:t>按</w:t>
      </w:r>
      <w:r>
        <w:rPr>
          <w:rFonts w:hint="eastAsia" w:ascii="宋体" w:hAnsi="宋体" w:eastAsia="宋体" w:cs="宋体"/>
          <w:spacing w:val="-1"/>
          <w:kern w:val="0"/>
          <w:sz w:val="21"/>
          <w:szCs w:val="21"/>
          <w:highlight w:val="none"/>
          <w:lang w:val="en-US" w:eastAsia="zh-CN" w:bidi="ar"/>
        </w:rPr>
        <w:t>100000</w:t>
      </w:r>
      <w:r>
        <w:rPr>
          <w:rFonts w:hint="eastAsia" w:ascii="宋体" w:hAnsi="宋体" w:eastAsia="宋体" w:cs="宋体"/>
          <w:spacing w:val="-1"/>
          <w:kern w:val="0"/>
          <w:sz w:val="21"/>
          <w:szCs w:val="21"/>
          <w:highlight w:val="none"/>
          <w:lang w:eastAsia="zh-CN" w:bidi="ar"/>
        </w:rPr>
        <w:t>元</w:t>
      </w:r>
      <w:r>
        <w:rPr>
          <w:rFonts w:hint="eastAsia" w:ascii="宋体" w:hAnsi="宋体" w:eastAsia="宋体" w:cs="宋体"/>
          <w:spacing w:val="-1"/>
          <w:kern w:val="0"/>
          <w:sz w:val="21"/>
          <w:szCs w:val="21"/>
          <w:highlight w:val="none"/>
          <w:lang w:val="en-US" w:eastAsia="zh-CN" w:bidi="ar"/>
        </w:rPr>
        <w:t>/起</w:t>
      </w:r>
      <w:r>
        <w:rPr>
          <w:rFonts w:hint="eastAsia" w:ascii="宋体" w:hAnsi="宋体" w:eastAsia="宋体" w:cs="宋体"/>
          <w:sz w:val="21"/>
          <w:szCs w:val="21"/>
          <w:highlight w:val="none"/>
          <w:lang w:val="en-US" w:eastAsia="zh-CN" w:bidi="ar"/>
        </w:rPr>
        <w:t>支付违约金；被市级政府主管部门或相关部门查实并通报的，按50000元/起支付违约金；被徐圩新区管委会主管部门或相关部门查实并通报的，按10000元/起支付违约金；被方洋集团有关部门查实并通报的，按5000元/起支付违约金</w:t>
      </w:r>
      <w:r>
        <w:rPr>
          <w:rFonts w:hint="eastAsia" w:ascii="宋体" w:hAnsi="宋体" w:eastAsia="宋体" w:cs="宋体"/>
          <w:sz w:val="21"/>
          <w:szCs w:val="21"/>
          <w:highlight w:val="none"/>
          <w:lang w:bidi="ar"/>
        </w:rPr>
        <w:t>。</w:t>
      </w:r>
    </w:p>
    <w:p w14:paraId="798539E7">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（七）</w:t>
      </w:r>
      <w:r>
        <w:rPr>
          <w:rFonts w:hint="eastAsia" w:ascii="宋体" w:hAnsi="宋体" w:eastAsia="宋体" w:cs="宋体"/>
          <w:sz w:val="21"/>
          <w:szCs w:val="21"/>
          <w:highlight w:val="none"/>
          <w:lang w:bidi="ar"/>
        </w:rPr>
        <w:t>含</w:t>
      </w:r>
      <w:r>
        <w:rPr>
          <w:rFonts w:hint="eastAsia" w:ascii="宋体" w:hAnsi="宋体" w:eastAsia="宋体" w:cs="宋体"/>
          <w:sz w:val="21"/>
          <w:szCs w:val="21"/>
          <w:highlight w:val="none"/>
          <w:lang w:val="en-US" w:eastAsia="zh-CN" w:bidi="ar"/>
        </w:rPr>
        <w:t>柴油、机油、食用废油等</w:t>
      </w:r>
      <w:r>
        <w:rPr>
          <w:rFonts w:hint="eastAsia" w:ascii="宋体" w:hAnsi="宋体" w:eastAsia="宋体" w:cs="宋体"/>
          <w:sz w:val="21"/>
          <w:szCs w:val="21"/>
          <w:highlight w:val="none"/>
          <w:lang w:bidi="ar"/>
        </w:rPr>
        <w:t>污水违规排放的，</w:t>
      </w:r>
      <w:r>
        <w:rPr>
          <w:rFonts w:hint="eastAsia" w:ascii="宋体" w:hAnsi="宋体" w:eastAsia="宋体" w:cs="宋体"/>
          <w:sz w:val="21"/>
          <w:szCs w:val="21"/>
          <w:highlight w:val="none"/>
          <w:lang w:eastAsia="zh-CN" w:bidi="ar"/>
        </w:rPr>
        <w:t>按</w:t>
      </w:r>
      <w:r>
        <w:rPr>
          <w:rFonts w:hint="eastAsia" w:ascii="宋体" w:hAnsi="宋体" w:eastAsia="宋体" w:cs="宋体"/>
          <w:sz w:val="21"/>
          <w:szCs w:val="21"/>
          <w:highlight w:val="none"/>
          <w:lang w:bidi="ar"/>
        </w:rPr>
        <w:t>5000元/起</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z w:val="21"/>
          <w:szCs w:val="21"/>
          <w:highlight w:val="none"/>
          <w:lang w:bidi="ar"/>
        </w:rPr>
        <w:t>。</w:t>
      </w:r>
    </w:p>
    <w:p w14:paraId="0FD84B22">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（八）</w:t>
      </w:r>
      <w:r>
        <w:rPr>
          <w:rFonts w:hint="eastAsia" w:ascii="宋体" w:hAnsi="宋体" w:eastAsia="宋体" w:cs="宋体"/>
          <w:sz w:val="21"/>
          <w:szCs w:val="21"/>
          <w:highlight w:val="none"/>
          <w:lang w:bidi="ar"/>
        </w:rPr>
        <w:t>未有效管控施工噪音，或其他因环保问题受到市民举报的，</w:t>
      </w:r>
      <w:r>
        <w:rPr>
          <w:rFonts w:hint="eastAsia" w:ascii="宋体" w:hAnsi="宋体" w:eastAsia="宋体" w:cs="宋体"/>
          <w:sz w:val="21"/>
          <w:szCs w:val="21"/>
          <w:highlight w:val="none"/>
          <w:lang w:eastAsia="zh-CN" w:bidi="ar"/>
        </w:rPr>
        <w:t>按</w:t>
      </w:r>
      <w:r>
        <w:rPr>
          <w:rFonts w:hint="eastAsia" w:ascii="宋体" w:hAnsi="宋体" w:eastAsia="宋体" w:cs="宋体"/>
          <w:sz w:val="21"/>
          <w:szCs w:val="21"/>
          <w:highlight w:val="none"/>
          <w:lang w:bidi="ar"/>
        </w:rPr>
        <w:t>5000元/起</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z w:val="21"/>
          <w:szCs w:val="21"/>
          <w:highlight w:val="none"/>
          <w:lang w:bidi="ar"/>
        </w:rPr>
        <w:t>，情节严重的参考第一条违约索赔条款。</w:t>
      </w:r>
    </w:p>
    <w:p w14:paraId="6C5E967B">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（九）</w:t>
      </w:r>
      <w:r>
        <w:rPr>
          <w:rFonts w:hint="eastAsia" w:ascii="宋体" w:hAnsi="宋体" w:eastAsia="宋体" w:cs="宋体"/>
          <w:sz w:val="21"/>
          <w:szCs w:val="21"/>
          <w:highlight w:val="none"/>
          <w:lang w:bidi="ar"/>
        </w:rPr>
        <w:t>柴油货车或非道路移动机械等机械设备尾气超标排放，或未按新区环保局要求定期上报监测的，</w:t>
      </w:r>
      <w:r>
        <w:rPr>
          <w:rFonts w:hint="eastAsia" w:ascii="宋体" w:hAnsi="宋体" w:eastAsia="宋体" w:cs="宋体"/>
          <w:sz w:val="21"/>
          <w:szCs w:val="21"/>
          <w:highlight w:val="none"/>
          <w:lang w:eastAsia="zh-CN" w:bidi="ar"/>
        </w:rPr>
        <w:t>按</w:t>
      </w:r>
      <w:r>
        <w:rPr>
          <w:rFonts w:hint="eastAsia" w:ascii="宋体" w:hAnsi="宋体" w:eastAsia="宋体" w:cs="宋体"/>
          <w:sz w:val="21"/>
          <w:szCs w:val="21"/>
          <w:highlight w:val="none"/>
          <w:lang w:bidi="ar"/>
        </w:rPr>
        <w:t>2000元/台</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z w:val="21"/>
          <w:szCs w:val="21"/>
          <w:highlight w:val="none"/>
          <w:lang w:bidi="ar"/>
        </w:rPr>
        <w:t>。</w:t>
      </w:r>
    </w:p>
    <w:p w14:paraId="618A60D6">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（十）</w:t>
      </w:r>
      <w:r>
        <w:rPr>
          <w:rFonts w:hint="eastAsia" w:ascii="宋体" w:hAnsi="宋体" w:eastAsia="宋体" w:cs="宋体"/>
          <w:spacing w:val="-1"/>
          <w:kern w:val="0"/>
          <w:sz w:val="21"/>
          <w:szCs w:val="21"/>
          <w:highlight w:val="none"/>
          <w:lang w:val="en-US" w:eastAsia="zh-CN" w:bidi="ar"/>
        </w:rPr>
        <w:t>各类施工垃圾废料不得随意乱倒，必须送到指定的垃圾堆放点及废料点，未严格执行的按1000元/起</w:t>
      </w:r>
      <w:r>
        <w:rPr>
          <w:rFonts w:hint="eastAsia" w:ascii="宋体" w:hAnsi="宋体" w:eastAsia="宋体" w:cs="宋体"/>
          <w:sz w:val="21"/>
          <w:szCs w:val="21"/>
          <w:highlight w:val="none"/>
          <w:lang w:val="en-US" w:eastAsia="zh-CN" w:bidi="ar"/>
        </w:rPr>
        <w:t>支付违约金</w:t>
      </w:r>
      <w:r>
        <w:rPr>
          <w:rFonts w:hint="eastAsia" w:ascii="宋体" w:hAnsi="宋体" w:eastAsia="宋体" w:cs="宋体"/>
          <w:spacing w:val="-1"/>
          <w:kern w:val="0"/>
          <w:sz w:val="21"/>
          <w:szCs w:val="21"/>
          <w:highlight w:val="none"/>
          <w:lang w:val="en-US" w:eastAsia="zh-CN" w:bidi="ar"/>
        </w:rPr>
        <w:t>。</w:t>
      </w:r>
    </w:p>
    <w:p w14:paraId="5205E6AF">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（十一）</w:t>
      </w:r>
      <w:r>
        <w:rPr>
          <w:rFonts w:hint="eastAsia" w:ascii="宋体" w:hAnsi="宋体" w:eastAsia="宋体" w:cs="宋体"/>
          <w:sz w:val="21"/>
          <w:szCs w:val="21"/>
          <w:highlight w:val="none"/>
          <w:lang w:val="en-US" w:eastAsia="zh-CN" w:bidi="ar"/>
        </w:rPr>
        <w:t>未落实以下扬尘防治管理措施的，按1000元/项支付违约金，并限期整改，乙方超期未整改的按100元/天向甲方支付逾期未整改到位违约金：</w:t>
      </w:r>
    </w:p>
    <w:p w14:paraId="3764ED82">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建立扬尘防治责任制且经责任人签字确认，制定专人负责扬尘防治管理；</w:t>
      </w:r>
    </w:p>
    <w:p w14:paraId="52DA6FE2">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乙方与分包单位签订扬尘防治协议；</w:t>
      </w:r>
    </w:p>
    <w:p w14:paraId="4548EF91">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供应商在投标时充分考虑扬尘防止措施费用，编制扬尘防治资金使用计划或未按计划实施；</w:t>
      </w:r>
    </w:p>
    <w:p w14:paraId="7F1FD445">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开工前根据采购文件要求进一步细化编制扬尘防治专项方案，方案标准不得低于采购文件要求；</w:t>
      </w:r>
    </w:p>
    <w:p w14:paraId="486CACA6">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扬尘防治专项方案经施工单位负责人、总监理工程师审核后上报建设单位审批；</w:t>
      </w:r>
    </w:p>
    <w:p w14:paraId="48A7DA0F">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入口处设置扬尘防治制度及渣土运输公示牌、设置责任人公示牌、尘防治设施平面布置图及徐圩新区建设局统一模板的《徐圩新区建筑工地扬尘管控公示牌》；</w:t>
      </w:r>
    </w:p>
    <w:p w14:paraId="5859CCAE">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编制扬尘预警响应预案，制定扬尘预警响应措施；</w:t>
      </w:r>
    </w:p>
    <w:p w14:paraId="2076A6B8">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安装在线监测和视频监控，并与徐圩新区主管部门及“方洋集团智慧工地一体化监管平台”联网；</w:t>
      </w:r>
    </w:p>
    <w:p w14:paraId="1D50AA0D">
      <w:pPr>
        <w:numPr>
          <w:ilvl w:val="0"/>
          <w:numId w:val="5"/>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对易扬尘部位定期保洁、洒水、湿润，定期保洁、洒水、湿润并记录入档的。</w:t>
      </w:r>
    </w:p>
    <w:p w14:paraId="211DDA81">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（十二）</w:t>
      </w:r>
      <w:r>
        <w:rPr>
          <w:rFonts w:hint="eastAsia" w:ascii="宋体" w:hAnsi="宋体" w:eastAsia="宋体" w:cs="宋体"/>
          <w:sz w:val="21"/>
          <w:szCs w:val="21"/>
          <w:highlight w:val="none"/>
          <w:lang w:val="en-US" w:eastAsia="zh-CN" w:bidi="ar"/>
        </w:rPr>
        <w:t>未落实以下现场扬尘防治措施的，按2000元/项支付违约金，并限期整改，乙方超期未整改的按200元/天向甲方支付逾期未整改到位违约金：</w:t>
      </w:r>
    </w:p>
    <w:p w14:paraId="3FE7383F">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w:t>
      </w:r>
      <w:r>
        <w:rPr>
          <w:rFonts w:hint="eastAsia" w:ascii="宋体" w:hAnsi="宋体" w:eastAsia="宋体" w:cs="宋体"/>
          <w:sz w:val="21"/>
          <w:szCs w:val="21"/>
          <w:highlight w:val="none"/>
          <w:lang w:val="en-US" w:eastAsia="zh-CN" w:bidi="ar"/>
        </w:rPr>
        <w:t>与外部道路交叉口采用U字形封闭，封闭长度要确保无关车辆和人员不能进入施工场地；</w:t>
      </w:r>
    </w:p>
    <w:p w14:paraId="43549BB3">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2．</w:t>
      </w:r>
      <w:r>
        <w:rPr>
          <w:rFonts w:hint="eastAsia" w:ascii="宋体" w:hAnsi="宋体" w:eastAsia="宋体" w:cs="宋体"/>
          <w:sz w:val="21"/>
          <w:szCs w:val="21"/>
          <w:highlight w:val="none"/>
          <w:lang w:val="en-US" w:eastAsia="zh-CN" w:bidi="ar"/>
        </w:rPr>
        <w:t>粉喷桩、高压旋喷桩及其他易产生扬尘的作业区域采用全封闭；</w:t>
      </w:r>
    </w:p>
    <w:p w14:paraId="7539F7A0">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3．</w:t>
      </w:r>
      <w:r>
        <w:rPr>
          <w:rFonts w:hint="eastAsia" w:ascii="宋体" w:hAnsi="宋体" w:eastAsia="宋体" w:cs="宋体"/>
          <w:sz w:val="21"/>
          <w:szCs w:val="21"/>
          <w:highlight w:val="none"/>
          <w:lang w:val="en-US" w:eastAsia="zh-CN" w:bidi="ar"/>
        </w:rPr>
        <w:t>连续设置实心围挡，构造上采用钢构式结构或砖砌式结构，一般路段的围墙围挡高度不低于1.8米，围挡外采用绿色防尘网覆盖，上挂安全或创文等宣传标语；</w:t>
      </w:r>
    </w:p>
    <w:p w14:paraId="31A80FEC">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4．</w:t>
      </w:r>
      <w:r>
        <w:rPr>
          <w:rFonts w:hint="eastAsia" w:ascii="宋体" w:hAnsi="宋体" w:eastAsia="宋体" w:cs="宋体"/>
          <w:sz w:val="21"/>
          <w:szCs w:val="21"/>
          <w:highlight w:val="none"/>
          <w:lang w:val="en-US" w:eastAsia="zh-CN" w:bidi="ar"/>
        </w:rPr>
        <w:t>围挡靠道路段需设置爆闪灯、警示牌及警示柱；</w:t>
      </w:r>
    </w:p>
    <w:p w14:paraId="231E2EF5">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5．</w:t>
      </w:r>
      <w:r>
        <w:rPr>
          <w:rFonts w:hint="eastAsia" w:ascii="宋体" w:hAnsi="宋体" w:eastAsia="宋体" w:cs="宋体"/>
          <w:sz w:val="21"/>
          <w:szCs w:val="21"/>
          <w:highlight w:val="none"/>
          <w:lang w:val="en-US" w:eastAsia="zh-CN" w:bidi="ar"/>
        </w:rPr>
        <w:t>出入口设置大门，24小时配置专人值守；</w:t>
      </w:r>
    </w:p>
    <w:p w14:paraId="7DB297AA">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6．</w:t>
      </w:r>
      <w:r>
        <w:rPr>
          <w:rFonts w:hint="eastAsia" w:ascii="宋体" w:hAnsi="宋体" w:eastAsia="宋体" w:cs="宋体"/>
          <w:sz w:val="21"/>
          <w:szCs w:val="21"/>
          <w:highlight w:val="none"/>
          <w:lang w:val="en-US" w:eastAsia="zh-CN" w:bidi="ar"/>
        </w:rPr>
        <w:t>市政工程出入口采取混凝土硬化，取土工程便道采取铺垫钢板硬化；</w:t>
      </w:r>
    </w:p>
    <w:p w14:paraId="30F1F557">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7．</w:t>
      </w:r>
      <w:r>
        <w:rPr>
          <w:rFonts w:hint="eastAsia" w:ascii="宋体" w:hAnsi="宋体" w:eastAsia="宋体" w:cs="宋体"/>
          <w:sz w:val="21"/>
          <w:szCs w:val="21"/>
          <w:highlight w:val="none"/>
          <w:lang w:val="en-US" w:eastAsia="zh-CN" w:bidi="ar"/>
        </w:rPr>
        <w:t>硬化道路承载力满足车辆行驶和抗压要求，出入口混凝土标号为C30及以上；</w:t>
      </w:r>
    </w:p>
    <w:p w14:paraId="5A9FEA42">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8．</w:t>
      </w:r>
      <w:r>
        <w:rPr>
          <w:rFonts w:hint="eastAsia" w:ascii="宋体" w:hAnsi="宋体" w:eastAsia="宋体" w:cs="宋体"/>
          <w:sz w:val="21"/>
          <w:szCs w:val="21"/>
          <w:highlight w:val="none"/>
          <w:lang w:val="en-US" w:eastAsia="zh-CN" w:bidi="ar"/>
        </w:rPr>
        <w:t>材料堆放区、加工区及大模板存放区等采用C20及以上混凝土硬化；</w:t>
      </w:r>
    </w:p>
    <w:p w14:paraId="61E1BF25">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9．</w:t>
      </w:r>
      <w:r>
        <w:rPr>
          <w:rFonts w:hint="eastAsia" w:ascii="宋体" w:hAnsi="宋体" w:eastAsia="宋体" w:cs="宋体"/>
          <w:sz w:val="21"/>
          <w:szCs w:val="21"/>
          <w:highlight w:val="none"/>
          <w:lang w:val="en-US" w:eastAsia="zh-CN" w:bidi="ar"/>
        </w:rPr>
        <w:t>出入口配备水冲洗设施，对出场车辆进行冲洗；</w:t>
      </w:r>
    </w:p>
    <w:p w14:paraId="69A86777">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10．</w:t>
      </w:r>
      <w:r>
        <w:rPr>
          <w:rFonts w:hint="eastAsia" w:ascii="宋体" w:hAnsi="宋体" w:eastAsia="宋体" w:cs="宋体"/>
          <w:sz w:val="21"/>
          <w:szCs w:val="21"/>
          <w:highlight w:val="none"/>
          <w:lang w:val="en-US" w:eastAsia="zh-CN" w:bidi="ar"/>
        </w:rPr>
        <w:t>冲洗设备为自动高压喷冲设备，满足工程车辆外围尺寸要求并设置沉淀池。不得采取简单的人工水枪等简易设施。确保车辆不带泥上路；</w:t>
      </w:r>
    </w:p>
    <w:p w14:paraId="09EEC9F0">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11．</w:t>
      </w:r>
      <w:r>
        <w:rPr>
          <w:rFonts w:hint="eastAsia" w:ascii="宋体" w:hAnsi="宋体" w:eastAsia="宋体" w:cs="宋体"/>
          <w:sz w:val="21"/>
          <w:szCs w:val="21"/>
          <w:highlight w:val="none"/>
          <w:lang w:val="en-US" w:eastAsia="zh-CN" w:bidi="ar"/>
        </w:rPr>
        <w:t>土石方及其他易扬尘车辆运输必须做到平仓出场、帆布覆盖，不沿途抛洒。</w:t>
      </w:r>
    </w:p>
    <w:p w14:paraId="2DC3BE7B">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12．</w:t>
      </w:r>
      <w:r>
        <w:rPr>
          <w:rFonts w:hint="eastAsia" w:ascii="宋体" w:hAnsi="宋体" w:eastAsia="宋体" w:cs="宋体"/>
          <w:sz w:val="21"/>
          <w:szCs w:val="21"/>
          <w:highlight w:val="none"/>
          <w:lang w:val="en-US" w:eastAsia="zh-CN" w:bidi="ar"/>
        </w:rPr>
        <w:t>裸露场地、土堆、道路两侧、基坑开挖采取覆盖或固化措施；</w:t>
      </w:r>
    </w:p>
    <w:p w14:paraId="09DCCB1D">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13．</w:t>
      </w:r>
      <w:r>
        <w:rPr>
          <w:rFonts w:hint="eastAsia" w:ascii="宋体" w:hAnsi="宋体" w:eastAsia="宋体" w:cs="宋体"/>
          <w:sz w:val="21"/>
          <w:szCs w:val="21"/>
          <w:highlight w:val="none"/>
          <w:lang w:val="en-US" w:eastAsia="zh-CN" w:bidi="ar"/>
        </w:rPr>
        <w:t>覆盖采用4针目以上绿色防尘网，严禁拉伸和土压；</w:t>
      </w:r>
    </w:p>
    <w:p w14:paraId="037E7C8A">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14．</w:t>
      </w:r>
      <w:r>
        <w:rPr>
          <w:rFonts w:hint="eastAsia" w:ascii="宋体" w:hAnsi="宋体" w:eastAsia="宋体" w:cs="宋体"/>
          <w:sz w:val="21"/>
          <w:szCs w:val="21"/>
          <w:highlight w:val="none"/>
          <w:lang w:val="en-US" w:eastAsia="zh-CN" w:bidi="ar"/>
        </w:rPr>
        <w:t>开挖或机械运输导致覆盖被破坏后必须及时进行补充覆盖；</w:t>
      </w:r>
    </w:p>
    <w:p w14:paraId="218794E9">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15．</w:t>
      </w:r>
      <w:r>
        <w:rPr>
          <w:rFonts w:hint="eastAsia" w:ascii="宋体" w:hAnsi="宋体" w:eastAsia="宋体" w:cs="宋体"/>
          <w:sz w:val="21"/>
          <w:szCs w:val="21"/>
          <w:highlight w:val="none"/>
          <w:lang w:val="en-US" w:eastAsia="zh-CN" w:bidi="ar"/>
        </w:rPr>
        <w:t>砂、石等建筑材料露天堆放采取帆布覆盖；</w:t>
      </w:r>
    </w:p>
    <w:p w14:paraId="61862FB1">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16．</w:t>
      </w:r>
      <w:r>
        <w:rPr>
          <w:rFonts w:hint="eastAsia" w:ascii="宋体" w:hAnsi="宋体" w:eastAsia="宋体" w:cs="宋体"/>
          <w:sz w:val="21"/>
          <w:szCs w:val="21"/>
          <w:highlight w:val="none"/>
          <w:lang w:val="en-US" w:eastAsia="zh-CN" w:bidi="ar"/>
        </w:rPr>
        <w:t>细颗粒建筑材料封闭存放；</w:t>
      </w:r>
    </w:p>
    <w:p w14:paraId="0EB9E201">
      <w:pPr>
        <w:numPr>
          <w:ilvl w:val="0"/>
          <w:numId w:val="0"/>
        </w:numPr>
        <w:adjustRightInd w:val="0"/>
        <w:snapToGrid w:val="0"/>
        <w:spacing w:line="360" w:lineRule="auto"/>
        <w:ind w:left="0" w:leftChars="0" w:firstLine="420" w:firstLineChars="200"/>
        <w:jc w:val="left"/>
        <w:rPr>
          <w:rFonts w:hint="eastAsia" w:ascii="宋体" w:hAnsi="宋体" w:eastAsia="宋体" w:cs="宋体"/>
          <w:sz w:val="21"/>
          <w:szCs w:val="21"/>
          <w:highlight w:val="none"/>
          <w:lang w:val="en-US" w:eastAsia="zh-CN" w:bidi="ar"/>
        </w:rPr>
      </w:pPr>
      <w:r>
        <w:rPr>
          <w:rFonts w:hint="default" w:ascii="宋体" w:hAnsi="宋体" w:eastAsia="宋体" w:cs="宋体"/>
          <w:kern w:val="2"/>
          <w:sz w:val="21"/>
          <w:szCs w:val="21"/>
          <w:highlight w:val="none"/>
          <w:lang w:val="en-US" w:eastAsia="zh-CN" w:bidi="ar"/>
        </w:rPr>
        <w:t>17．</w:t>
      </w:r>
      <w:r>
        <w:rPr>
          <w:rFonts w:hint="eastAsia" w:ascii="宋体" w:hAnsi="宋体" w:eastAsia="宋体" w:cs="宋体"/>
          <w:sz w:val="21"/>
          <w:szCs w:val="21"/>
          <w:highlight w:val="none"/>
          <w:lang w:val="en-US" w:eastAsia="zh-CN" w:bidi="ar"/>
        </w:rPr>
        <w:t>搅拌设备、储罐四周设置封闭围挡。</w:t>
      </w:r>
    </w:p>
    <w:p w14:paraId="2414CF50">
      <w:pPr>
        <w:numPr>
          <w:ilvl w:val="0"/>
          <w:numId w:val="0"/>
        </w:numPr>
        <w:adjustRightInd w:val="0"/>
        <w:snapToGrid w:val="0"/>
        <w:spacing w:line="360" w:lineRule="auto"/>
        <w:ind w:firstLine="420" w:firstLineChars="200"/>
        <w:jc w:val="left"/>
        <w:rPr>
          <w:rFonts w:hint="eastAsia" w:ascii="宋体" w:hAnsi="宋体" w:eastAsia="宋体" w:cs="宋体"/>
          <w:sz w:val="21"/>
          <w:szCs w:val="21"/>
          <w:highlight w:val="none"/>
          <w:lang w:val="en-US" w:eastAsia="zh-CN" w:bidi="ar"/>
        </w:rPr>
      </w:pPr>
      <w:r>
        <w:rPr>
          <w:rFonts w:hint="eastAsia" w:ascii="宋体" w:hAnsi="宋体" w:eastAsia="宋体" w:cs="宋体"/>
          <w:kern w:val="2"/>
          <w:sz w:val="21"/>
          <w:szCs w:val="21"/>
          <w:highlight w:val="none"/>
          <w:lang w:val="en-US" w:eastAsia="zh-CN" w:bidi="ar"/>
        </w:rPr>
        <w:t>（十三）</w:t>
      </w:r>
      <w:r>
        <w:rPr>
          <w:rFonts w:hint="eastAsia" w:ascii="宋体" w:hAnsi="宋体" w:eastAsia="宋体" w:cs="宋体"/>
          <w:sz w:val="21"/>
          <w:szCs w:val="21"/>
          <w:highlight w:val="none"/>
          <w:lang w:val="en-US" w:eastAsia="zh-CN" w:bidi="ar"/>
        </w:rPr>
        <w:t>扬尘防治措施落实不到位，导致产生扬尘污染的，按10000元/次支付违约金。</w:t>
      </w:r>
    </w:p>
    <w:p w14:paraId="1F16D3F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甲方有权直接从应付未付工程款中扣除乙方上述违约金，如以上情形</w:t>
      </w:r>
      <w:r>
        <w:rPr>
          <w:rFonts w:hint="eastAsia" w:ascii="宋体" w:hAnsi="宋体" w:eastAsia="宋体" w:cs="宋体"/>
          <w:sz w:val="21"/>
          <w:szCs w:val="21"/>
          <w:highlight w:val="none"/>
        </w:rPr>
        <w:t>违约金不足以弥补甲方所遭受损失的，</w:t>
      </w:r>
      <w:r>
        <w:rPr>
          <w:rFonts w:hint="eastAsia" w:ascii="宋体" w:hAnsi="宋体" w:eastAsia="宋体" w:cs="宋体"/>
          <w:sz w:val="21"/>
          <w:szCs w:val="21"/>
          <w:highlight w:val="none"/>
          <w:lang w:eastAsia="zh-CN"/>
        </w:rPr>
        <w:t>乙方对甲方损失负有补足责任</w:t>
      </w:r>
      <w:r>
        <w:rPr>
          <w:rFonts w:hint="eastAsia" w:ascii="宋体" w:hAnsi="宋体" w:eastAsia="宋体" w:cs="宋体"/>
          <w:color w:val="000000"/>
          <w:sz w:val="21"/>
          <w:szCs w:val="21"/>
          <w:highlight w:val="none"/>
        </w:rPr>
        <w:t>。</w:t>
      </w:r>
    </w:p>
    <w:p w14:paraId="745D7B3F">
      <w:pPr>
        <w:spacing w:line="500" w:lineRule="exact"/>
        <w:ind w:firstLine="210" w:firstLineChars="100"/>
        <w:rPr>
          <w:rFonts w:hint="eastAsia" w:ascii="宋体" w:hAnsi="宋体" w:eastAsia="宋体" w:cs="宋体"/>
          <w:color w:val="000000"/>
          <w:szCs w:val="21"/>
          <w:highlight w:val="none"/>
        </w:rPr>
      </w:pPr>
    </w:p>
    <w:p w14:paraId="6AD27973">
      <w:pPr>
        <w:spacing w:line="500" w:lineRule="exact"/>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（以下无正文）</w:t>
      </w:r>
    </w:p>
    <w:p w14:paraId="075AC5DC">
      <w:pPr>
        <w:spacing w:line="500" w:lineRule="exact"/>
        <w:ind w:firstLine="315"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甲方</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乙方</w:t>
      </w:r>
      <w:r>
        <w:rPr>
          <w:rFonts w:hint="eastAsia" w:ascii="宋体" w:hAnsi="宋体" w:eastAsia="宋体" w:cs="宋体"/>
          <w:color w:val="000000"/>
          <w:szCs w:val="21"/>
          <w:highlight w:val="none"/>
        </w:rPr>
        <w:t>：</w:t>
      </w:r>
    </w:p>
    <w:p w14:paraId="34247525">
      <w:pPr>
        <w:spacing w:line="500" w:lineRule="exact"/>
        <w:ind w:firstLine="105" w:firstLineChars="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（盖章）</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（盖章）</w:t>
      </w:r>
    </w:p>
    <w:p w14:paraId="2667C36F">
      <w:pPr>
        <w:spacing w:line="500" w:lineRule="exact"/>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法定代表人或委托代理人：</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法定代表人或委托代理人：</w:t>
      </w:r>
    </w:p>
    <w:p w14:paraId="4550A231">
      <w:pPr>
        <w:spacing w:line="500" w:lineRule="exact"/>
        <w:ind w:firstLine="105" w:firstLineChars="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（签字或盖章）</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eastAsia="zh-CN"/>
        </w:rPr>
        <w:t>（签字或盖章）</w:t>
      </w:r>
    </w:p>
    <w:p w14:paraId="14ACD5D0">
      <w:pPr>
        <w:spacing w:line="480" w:lineRule="auto"/>
        <w:rPr>
          <w:rFonts w:hint="eastAsia" w:ascii="方正仿宋_GBK" w:hAnsi="仿宋" w:eastAsia="方正仿宋_GBK"/>
          <w:bCs/>
          <w:sz w:val="32"/>
          <w:szCs w:val="32"/>
          <w:highlight w:val="none"/>
        </w:rPr>
      </w:pPr>
      <w:bookmarkStart w:id="207" w:name="_Toc17685_WPSOffice_Level2"/>
      <w:bookmarkStart w:id="208" w:name="_Toc20171_WPSOffice_Level2"/>
      <w:bookmarkStart w:id="209" w:name="_Toc19219_WPSOffice_Level2"/>
      <w:bookmarkStart w:id="210" w:name="_Toc24513_WPSOffice_Level2"/>
      <w:bookmarkStart w:id="211" w:name="_Toc25635_WPSOffice_Level2"/>
      <w:r>
        <w:rPr>
          <w:rFonts w:hint="eastAsia" w:ascii="宋体" w:hAnsi="宋体" w:eastAsia="宋体" w:cs="宋体"/>
          <w:b/>
          <w:szCs w:val="21"/>
          <w:highlight w:val="none"/>
        </w:rPr>
        <w:br w:type="page"/>
      </w:r>
      <w:bookmarkEnd w:id="207"/>
      <w:bookmarkEnd w:id="208"/>
      <w:bookmarkEnd w:id="209"/>
      <w:bookmarkEnd w:id="210"/>
      <w:bookmarkEnd w:id="211"/>
    </w:p>
    <w:p w14:paraId="1481A8C8">
      <w:pPr>
        <w:pStyle w:val="2"/>
        <w:spacing w:before="0" w:after="0" w:line="240" w:lineRule="auto"/>
        <w:ind w:firstLine="0" w:firstLineChars="0"/>
        <w:jc w:val="center"/>
        <w:rPr>
          <w:rFonts w:hint="default" w:ascii="Times New Roman" w:hAnsi="Times New Roman" w:eastAsia="黑体"/>
          <w:b w:val="0"/>
          <w:color w:val="000000" w:themeColor="text1"/>
          <w:szCs w:val="36"/>
          <w:highlight w:val="none"/>
          <w:lang w:val="en-US" w:eastAsia="zh-CN"/>
          <w14:textFill>
            <w14:solidFill>
              <w14:schemeClr w14:val="tx1"/>
            </w14:solidFill>
          </w14:textFill>
        </w:rPr>
      </w:pPr>
      <w:r>
        <w:rPr>
          <w:rFonts w:ascii="Times New Roman" w:hAnsi="黑体"/>
          <w:b w:val="0"/>
          <w:color w:val="000000" w:themeColor="text1"/>
          <w:szCs w:val="36"/>
          <w:highlight w:val="none"/>
          <w14:textFill>
            <w14:solidFill>
              <w14:schemeClr w14:val="tx1"/>
            </w14:solidFill>
          </w14:textFill>
        </w:rPr>
        <w:t>第五章</w:t>
      </w:r>
      <w:r>
        <w:rPr>
          <w:rFonts w:hint="eastAsia" w:ascii="Times New Roman" w:hAnsi="黑体"/>
          <w:b w:val="0"/>
          <w:color w:val="000000" w:themeColor="text1"/>
          <w:szCs w:val="36"/>
          <w:highlight w:val="none"/>
          <w14:textFill>
            <w14:solidFill>
              <w14:schemeClr w14:val="tx1"/>
            </w14:solidFill>
          </w14:textFill>
        </w:rPr>
        <w:t xml:space="preserve"> </w:t>
      </w:r>
      <w:r>
        <w:rPr>
          <w:rFonts w:hint="eastAsia" w:ascii="Times New Roman" w:hAnsi="黑体"/>
          <w:b w:val="0"/>
          <w:color w:val="000000" w:themeColor="text1"/>
          <w:szCs w:val="36"/>
          <w:highlight w:val="none"/>
          <w:lang w:val="en-US" w:eastAsia="zh-CN"/>
          <w14:textFill>
            <w14:solidFill>
              <w14:schemeClr w14:val="tx1"/>
            </w14:solidFill>
          </w14:textFill>
        </w:rPr>
        <w:t>报价清单及控制价明细</w:t>
      </w:r>
      <w:bookmarkEnd w:id="205"/>
    </w:p>
    <w:bookmarkEnd w:id="206"/>
    <w:p w14:paraId="490CE8B8">
      <w:pPr>
        <w:pStyle w:val="18"/>
        <w:ind w:firstLine="42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详见附件</w:t>
      </w:r>
    </w:p>
    <w:p w14:paraId="280E069A">
      <w:pPr>
        <w:pStyle w:val="18"/>
        <w:ind w:firstLine="420"/>
        <w:rPr>
          <w:color w:val="000000" w:themeColor="text1"/>
          <w:highlight w:val="none"/>
          <w14:textFill>
            <w14:solidFill>
              <w14:schemeClr w14:val="tx1"/>
            </w14:solidFill>
          </w14:textFill>
        </w:rPr>
      </w:pPr>
    </w:p>
    <w:p w14:paraId="3B09EB64">
      <w:pPr>
        <w:rPr>
          <w:b/>
          <w:color w:val="000000" w:themeColor="text1"/>
          <w:kern w:val="0"/>
          <w:sz w:val="72"/>
          <w:szCs w:val="72"/>
          <w:highlight w:val="none"/>
          <w14:textFill>
            <w14:solidFill>
              <w14:schemeClr w14:val="tx1"/>
            </w14:solidFill>
          </w14:textFill>
        </w:rPr>
      </w:pPr>
      <w:r>
        <w:rPr>
          <w:b/>
          <w:color w:val="000000" w:themeColor="text1"/>
          <w:kern w:val="0"/>
          <w:sz w:val="72"/>
          <w:szCs w:val="72"/>
          <w:highlight w:val="none"/>
          <w14:textFill>
            <w14:solidFill>
              <w14:schemeClr w14:val="tx1"/>
            </w14:solidFill>
          </w14:textFill>
        </w:rPr>
        <w:br w:type="page"/>
      </w:r>
    </w:p>
    <w:p w14:paraId="6878C641">
      <w:pPr>
        <w:pStyle w:val="2"/>
        <w:spacing w:line="400" w:lineRule="atLeast"/>
        <w:ind w:firstLine="0" w:firstLineChars="0"/>
        <w:jc w:val="center"/>
        <w:rPr>
          <w:rFonts w:ascii="Times New Roman" w:hAnsi="Times New Roman"/>
          <w:color w:val="000000" w:themeColor="text1"/>
          <w:szCs w:val="36"/>
          <w:highlight w:val="none"/>
          <w14:textFill>
            <w14:solidFill>
              <w14:schemeClr w14:val="tx1"/>
            </w14:solidFill>
          </w14:textFill>
        </w:rPr>
      </w:pPr>
      <w:bookmarkStart w:id="212" w:name="_Toc13827"/>
      <w:r>
        <w:rPr>
          <w:rFonts w:ascii="Times New Roman" w:hAnsi="Times New Roman"/>
          <w:color w:val="000000" w:themeColor="text1"/>
          <w:szCs w:val="36"/>
          <w:highlight w:val="none"/>
          <w14:textFill>
            <w14:solidFill>
              <w14:schemeClr w14:val="tx1"/>
            </w14:solidFill>
          </w14:textFill>
        </w:rPr>
        <w:t>第</w:t>
      </w:r>
      <w:r>
        <w:rPr>
          <w:rFonts w:hint="eastAsia" w:ascii="Times New Roman" w:hAnsi="Times New Roman"/>
          <w:color w:val="000000" w:themeColor="text1"/>
          <w:szCs w:val="36"/>
          <w:highlight w:val="none"/>
          <w14:textFill>
            <w14:solidFill>
              <w14:schemeClr w14:val="tx1"/>
            </w14:solidFill>
          </w14:textFill>
        </w:rPr>
        <w:t>六</w:t>
      </w:r>
      <w:r>
        <w:rPr>
          <w:rFonts w:ascii="Times New Roman" w:hAnsi="Times New Roman"/>
          <w:color w:val="000000" w:themeColor="text1"/>
          <w:szCs w:val="36"/>
          <w:highlight w:val="none"/>
          <w14:textFill>
            <w14:solidFill>
              <w14:schemeClr w14:val="tx1"/>
            </w14:solidFill>
          </w14:textFill>
        </w:rPr>
        <w:t>章</w:t>
      </w:r>
      <w:r>
        <w:rPr>
          <w:rFonts w:hint="eastAsia" w:ascii="Times New Roman" w:hAnsi="Times New Roman"/>
          <w:color w:val="000000" w:themeColor="text1"/>
          <w:szCs w:val="36"/>
          <w:highlight w:val="none"/>
          <w14:textFill>
            <w14:solidFill>
              <w14:schemeClr w14:val="tx1"/>
            </w14:solidFill>
          </w14:textFill>
        </w:rPr>
        <w:t xml:space="preserve"> </w:t>
      </w:r>
      <w:r>
        <w:rPr>
          <w:rFonts w:ascii="Times New Roman" w:hAnsi="Times New Roman"/>
          <w:color w:val="000000" w:themeColor="text1"/>
          <w:szCs w:val="36"/>
          <w:highlight w:val="none"/>
          <w14:textFill>
            <w14:solidFill>
              <w14:schemeClr w14:val="tx1"/>
            </w14:solidFill>
          </w14:textFill>
        </w:rPr>
        <w:t>响应文件格式</w:t>
      </w:r>
      <w:bookmarkEnd w:id="212"/>
    </w:p>
    <w:p w14:paraId="4CBA70A7">
      <w:pPr>
        <w:pStyle w:val="12"/>
        <w:snapToGrid w:val="0"/>
        <w:spacing w:line="400" w:lineRule="atLeast"/>
        <w:ind w:firstLine="281" w:firstLineChars="140"/>
        <w:rPr>
          <w:rFonts w:ascii="Times New Roman"/>
          <w:color w:val="000000" w:themeColor="text1"/>
          <w:kern w:val="0"/>
          <w:sz w:val="24"/>
          <w:highlight w:val="none"/>
          <w14:textFill>
            <w14:solidFill>
              <w14:schemeClr w14:val="tx1"/>
            </w14:solidFill>
          </w14:textFill>
        </w:rPr>
      </w:pPr>
      <w:bookmarkStart w:id="213" w:name="_Toc520410661"/>
      <w:r>
        <w:rPr>
          <w:rFonts w:ascii="Times New Roman"/>
          <w:b/>
          <w:color w:val="000000" w:themeColor="text1"/>
          <w:sz w:val="20"/>
          <w:highlight w:val="none"/>
          <w14:textFill>
            <w14:solidFill>
              <w14:schemeClr w14:val="tx1"/>
            </w14:solidFill>
          </w14:textFill>
        </w:rPr>
        <w:t>封面</w:t>
      </w:r>
      <w:bookmarkEnd w:id="213"/>
    </w:p>
    <w:p w14:paraId="72E71B97">
      <w:pPr>
        <w:autoSpaceDE w:val="0"/>
        <w:autoSpaceDN w:val="0"/>
        <w:adjustRightInd w:val="0"/>
        <w:spacing w:line="400" w:lineRule="atLeast"/>
        <w:ind w:firstLine="480"/>
        <w:jc w:val="left"/>
        <w:rPr>
          <w:color w:val="000000" w:themeColor="text1"/>
          <w:kern w:val="0"/>
          <w:sz w:val="24"/>
          <w:highlight w:val="none"/>
          <w14:textFill>
            <w14:solidFill>
              <w14:schemeClr w14:val="tx1"/>
            </w14:solidFill>
          </w14:textFill>
        </w:rPr>
      </w:pPr>
    </w:p>
    <w:p w14:paraId="34ADB4A4">
      <w:pPr>
        <w:autoSpaceDE w:val="0"/>
        <w:autoSpaceDN w:val="0"/>
        <w:adjustRightInd w:val="0"/>
        <w:spacing w:line="400" w:lineRule="atLeast"/>
        <w:ind w:firstLine="602"/>
        <w:rPr>
          <w:b/>
          <w:color w:val="000000" w:themeColor="text1"/>
          <w:kern w:val="0"/>
          <w:sz w:val="30"/>
          <w:szCs w:val="30"/>
          <w:highlight w:val="none"/>
          <w14:textFill>
            <w14:solidFill>
              <w14:schemeClr w14:val="tx1"/>
            </w14:solidFill>
          </w14:textFill>
        </w:rPr>
      </w:pPr>
    </w:p>
    <w:p w14:paraId="62270933">
      <w:pPr>
        <w:autoSpaceDE w:val="0"/>
        <w:autoSpaceDN w:val="0"/>
        <w:adjustRightInd w:val="0"/>
        <w:spacing w:line="400" w:lineRule="atLeast"/>
        <w:ind w:firstLine="0" w:firstLineChars="0"/>
        <w:jc w:val="center"/>
        <w:rPr>
          <w:b/>
          <w:color w:val="000000" w:themeColor="text1"/>
          <w:kern w:val="0"/>
          <w:sz w:val="48"/>
          <w:szCs w:val="48"/>
          <w:highlight w:val="none"/>
          <w14:textFill>
            <w14:solidFill>
              <w14:schemeClr w14:val="tx1"/>
            </w14:solidFill>
          </w14:textFill>
        </w:rPr>
      </w:pPr>
      <w:r>
        <w:rPr>
          <w:rFonts w:hint="eastAsia"/>
          <w:b/>
          <w:bCs/>
          <w:color w:val="000000" w:themeColor="text1"/>
          <w:kern w:val="0"/>
          <w:sz w:val="48"/>
          <w:szCs w:val="48"/>
          <w:highlight w:val="none"/>
          <w:u w:val="single"/>
          <w14:textFill>
            <w14:solidFill>
              <w14:schemeClr w14:val="tx1"/>
            </w14:solidFill>
          </w14:textFill>
        </w:rPr>
        <w:t>（项目名称）</w:t>
      </w:r>
    </w:p>
    <w:p w14:paraId="41CC049A">
      <w:pPr>
        <w:autoSpaceDE w:val="0"/>
        <w:autoSpaceDN w:val="0"/>
        <w:adjustRightInd w:val="0"/>
        <w:spacing w:line="400" w:lineRule="atLeast"/>
        <w:ind w:firstLine="602"/>
        <w:jc w:val="center"/>
        <w:rPr>
          <w:b/>
          <w:color w:val="000000" w:themeColor="text1"/>
          <w:kern w:val="0"/>
          <w:sz w:val="30"/>
          <w:szCs w:val="30"/>
          <w:highlight w:val="none"/>
          <w14:textFill>
            <w14:solidFill>
              <w14:schemeClr w14:val="tx1"/>
            </w14:solidFill>
          </w14:textFill>
        </w:rPr>
      </w:pPr>
    </w:p>
    <w:p w14:paraId="5AFD207E">
      <w:pPr>
        <w:pStyle w:val="18"/>
        <w:ind w:firstLine="420"/>
        <w:rPr>
          <w:color w:val="000000" w:themeColor="text1"/>
          <w:highlight w:val="none"/>
          <w14:textFill>
            <w14:solidFill>
              <w14:schemeClr w14:val="tx1"/>
            </w14:solidFill>
          </w14:textFill>
        </w:rPr>
      </w:pPr>
    </w:p>
    <w:p w14:paraId="1F16E59D">
      <w:pPr>
        <w:pStyle w:val="18"/>
        <w:ind w:firstLine="420"/>
        <w:rPr>
          <w:color w:val="000000" w:themeColor="text1"/>
          <w:highlight w:val="none"/>
          <w14:textFill>
            <w14:solidFill>
              <w14:schemeClr w14:val="tx1"/>
            </w14:solidFill>
          </w14:textFill>
        </w:rPr>
      </w:pPr>
    </w:p>
    <w:p w14:paraId="2565B8C3">
      <w:pPr>
        <w:pStyle w:val="18"/>
        <w:ind w:firstLine="420"/>
        <w:rPr>
          <w:color w:val="000000" w:themeColor="text1"/>
          <w:highlight w:val="none"/>
          <w14:textFill>
            <w14:solidFill>
              <w14:schemeClr w14:val="tx1"/>
            </w14:solidFill>
          </w14:textFill>
        </w:rPr>
      </w:pPr>
    </w:p>
    <w:p w14:paraId="75ED5FEB">
      <w:pPr>
        <w:pStyle w:val="18"/>
        <w:ind w:firstLine="420"/>
        <w:rPr>
          <w:color w:val="000000" w:themeColor="text1"/>
          <w:highlight w:val="none"/>
          <w14:textFill>
            <w14:solidFill>
              <w14:schemeClr w14:val="tx1"/>
            </w14:solidFill>
          </w14:textFill>
        </w:rPr>
      </w:pPr>
    </w:p>
    <w:p w14:paraId="412C0527">
      <w:pPr>
        <w:pStyle w:val="18"/>
        <w:ind w:firstLine="420"/>
        <w:rPr>
          <w:color w:val="000000" w:themeColor="text1"/>
          <w:highlight w:val="none"/>
          <w14:textFill>
            <w14:solidFill>
              <w14:schemeClr w14:val="tx1"/>
            </w14:solidFill>
          </w14:textFill>
        </w:rPr>
      </w:pPr>
    </w:p>
    <w:p w14:paraId="597409B3">
      <w:pPr>
        <w:autoSpaceDE w:val="0"/>
        <w:autoSpaceDN w:val="0"/>
        <w:adjustRightInd w:val="0"/>
        <w:spacing w:line="400" w:lineRule="atLeast"/>
        <w:ind w:firstLine="0" w:firstLineChars="0"/>
        <w:jc w:val="center"/>
        <w:rPr>
          <w:b/>
          <w:color w:val="000000" w:themeColor="text1"/>
          <w:kern w:val="0"/>
          <w:sz w:val="72"/>
          <w:szCs w:val="72"/>
          <w:highlight w:val="none"/>
          <w14:textFill>
            <w14:solidFill>
              <w14:schemeClr w14:val="tx1"/>
            </w14:solidFill>
          </w14:textFill>
        </w:rPr>
      </w:pPr>
      <w:r>
        <w:rPr>
          <w:b/>
          <w:color w:val="000000" w:themeColor="text1"/>
          <w:kern w:val="0"/>
          <w:sz w:val="72"/>
          <w:szCs w:val="72"/>
          <w:highlight w:val="none"/>
          <w14:textFill>
            <w14:solidFill>
              <w14:schemeClr w14:val="tx1"/>
            </w14:solidFill>
          </w14:textFill>
        </w:rPr>
        <w:t>谈判响应文件</w:t>
      </w:r>
    </w:p>
    <w:p w14:paraId="3A7CB9BF">
      <w:pPr>
        <w:autoSpaceDE w:val="0"/>
        <w:autoSpaceDN w:val="0"/>
        <w:adjustRightInd w:val="0"/>
        <w:spacing w:line="400" w:lineRule="atLeast"/>
        <w:ind w:firstLine="1680" w:firstLineChars="700"/>
        <w:jc w:val="left"/>
        <w:rPr>
          <w:color w:val="000000" w:themeColor="text1"/>
          <w:kern w:val="0"/>
          <w:sz w:val="24"/>
          <w:highlight w:val="none"/>
          <w14:textFill>
            <w14:solidFill>
              <w14:schemeClr w14:val="tx1"/>
            </w14:solidFill>
          </w14:textFill>
        </w:rPr>
      </w:pPr>
    </w:p>
    <w:p w14:paraId="092F39AD">
      <w:pPr>
        <w:autoSpaceDE w:val="0"/>
        <w:autoSpaceDN w:val="0"/>
        <w:adjustRightInd w:val="0"/>
        <w:spacing w:line="400" w:lineRule="atLeast"/>
        <w:ind w:firstLine="1680" w:firstLineChars="700"/>
        <w:jc w:val="left"/>
        <w:rPr>
          <w:color w:val="000000" w:themeColor="text1"/>
          <w:kern w:val="0"/>
          <w:sz w:val="24"/>
          <w:highlight w:val="none"/>
          <w14:textFill>
            <w14:solidFill>
              <w14:schemeClr w14:val="tx1"/>
            </w14:solidFill>
          </w14:textFill>
        </w:rPr>
      </w:pPr>
    </w:p>
    <w:p w14:paraId="14A95086">
      <w:pPr>
        <w:pStyle w:val="18"/>
        <w:ind w:firstLine="420"/>
        <w:rPr>
          <w:color w:val="000000" w:themeColor="text1"/>
          <w:highlight w:val="none"/>
          <w14:textFill>
            <w14:solidFill>
              <w14:schemeClr w14:val="tx1"/>
            </w14:solidFill>
          </w14:textFill>
        </w:rPr>
      </w:pPr>
    </w:p>
    <w:p w14:paraId="39C7DF47">
      <w:pPr>
        <w:pStyle w:val="18"/>
        <w:ind w:firstLine="420"/>
        <w:rPr>
          <w:color w:val="000000" w:themeColor="text1"/>
          <w:highlight w:val="none"/>
          <w14:textFill>
            <w14:solidFill>
              <w14:schemeClr w14:val="tx1"/>
            </w14:solidFill>
          </w14:textFill>
        </w:rPr>
      </w:pPr>
    </w:p>
    <w:p w14:paraId="1900E169">
      <w:pPr>
        <w:pStyle w:val="18"/>
        <w:ind w:firstLine="420"/>
        <w:rPr>
          <w:color w:val="000000" w:themeColor="text1"/>
          <w:highlight w:val="none"/>
          <w14:textFill>
            <w14:solidFill>
              <w14:schemeClr w14:val="tx1"/>
            </w14:solidFill>
          </w14:textFill>
        </w:rPr>
      </w:pPr>
    </w:p>
    <w:p w14:paraId="519BAFB5">
      <w:pPr>
        <w:pStyle w:val="18"/>
        <w:ind w:firstLine="420"/>
        <w:rPr>
          <w:color w:val="000000" w:themeColor="text1"/>
          <w:highlight w:val="none"/>
          <w14:textFill>
            <w14:solidFill>
              <w14:schemeClr w14:val="tx1"/>
            </w14:solidFill>
          </w14:textFill>
        </w:rPr>
      </w:pPr>
    </w:p>
    <w:p w14:paraId="49CFD983">
      <w:pPr>
        <w:autoSpaceDE w:val="0"/>
        <w:autoSpaceDN w:val="0"/>
        <w:adjustRightInd w:val="0"/>
        <w:spacing w:line="400" w:lineRule="atLeast"/>
        <w:ind w:firstLine="1680" w:firstLineChars="700"/>
        <w:jc w:val="left"/>
        <w:rPr>
          <w:color w:val="000000" w:themeColor="text1"/>
          <w:kern w:val="0"/>
          <w:sz w:val="24"/>
          <w:highlight w:val="none"/>
          <w14:textFill>
            <w14:solidFill>
              <w14:schemeClr w14:val="tx1"/>
            </w14:solidFill>
          </w14:textFill>
        </w:rPr>
      </w:pPr>
    </w:p>
    <w:p w14:paraId="282B0F56">
      <w:pPr>
        <w:autoSpaceDE w:val="0"/>
        <w:autoSpaceDN w:val="0"/>
        <w:adjustRightInd w:val="0"/>
        <w:spacing w:line="400" w:lineRule="atLeast"/>
        <w:ind w:firstLine="1680" w:firstLineChars="700"/>
        <w:jc w:val="left"/>
        <w:rPr>
          <w:color w:val="000000" w:themeColor="text1"/>
          <w:kern w:val="0"/>
          <w:sz w:val="24"/>
          <w:highlight w:val="none"/>
          <w14:textFill>
            <w14:solidFill>
              <w14:schemeClr w14:val="tx1"/>
            </w14:solidFill>
          </w14:textFill>
        </w:rPr>
      </w:pPr>
    </w:p>
    <w:p w14:paraId="34A3C4FD">
      <w:pPr>
        <w:autoSpaceDE w:val="0"/>
        <w:autoSpaceDN w:val="0"/>
        <w:adjustRightInd w:val="0"/>
        <w:spacing w:line="400" w:lineRule="atLeast"/>
        <w:ind w:firstLine="708" w:firstLineChars="253"/>
        <w:rPr>
          <w:color w:val="000000" w:themeColor="text1"/>
          <w:kern w:val="0"/>
          <w:sz w:val="28"/>
          <w:szCs w:val="28"/>
          <w:highlight w:val="none"/>
          <w14:textFill>
            <w14:solidFill>
              <w14:schemeClr w14:val="tx1"/>
            </w14:solidFill>
          </w14:textFill>
        </w:rPr>
      </w:pPr>
    </w:p>
    <w:p w14:paraId="0E0DE2CC">
      <w:pPr>
        <w:autoSpaceDE w:val="0"/>
        <w:autoSpaceDN w:val="0"/>
        <w:adjustRightInd w:val="0"/>
        <w:spacing w:line="400" w:lineRule="atLeast"/>
        <w:ind w:firstLine="708" w:firstLineChars="253"/>
        <w:rPr>
          <w:color w:val="000000" w:themeColor="text1"/>
          <w:kern w:val="0"/>
          <w:sz w:val="28"/>
          <w:szCs w:val="28"/>
          <w:highlight w:val="none"/>
          <w:u w:val="single"/>
          <w14:textFill>
            <w14:solidFill>
              <w14:schemeClr w14:val="tx1"/>
            </w14:solidFill>
          </w14:textFill>
        </w:rPr>
      </w:pPr>
      <w:r>
        <w:rPr>
          <w:color w:val="000000" w:themeColor="text1"/>
          <w:kern w:val="0"/>
          <w:sz w:val="28"/>
          <w:szCs w:val="28"/>
          <w:highlight w:val="none"/>
          <w14:textFill>
            <w14:solidFill>
              <w14:schemeClr w14:val="tx1"/>
            </w14:solidFill>
          </w14:textFill>
        </w:rPr>
        <w:t>供应商（盖单位章）:</w:t>
      </w:r>
    </w:p>
    <w:p w14:paraId="142525B4">
      <w:pPr>
        <w:autoSpaceDE w:val="0"/>
        <w:autoSpaceDN w:val="0"/>
        <w:adjustRightInd w:val="0"/>
        <w:spacing w:line="400" w:lineRule="atLeast"/>
        <w:ind w:firstLine="708" w:firstLineChars="253"/>
        <w:rPr>
          <w:color w:val="000000" w:themeColor="text1"/>
          <w:kern w:val="0"/>
          <w:sz w:val="28"/>
          <w:szCs w:val="28"/>
          <w:highlight w:val="none"/>
          <w:u w:val="single"/>
          <w14:textFill>
            <w14:solidFill>
              <w14:schemeClr w14:val="tx1"/>
            </w14:solidFill>
          </w14:textFill>
        </w:rPr>
      </w:pPr>
      <w:r>
        <w:rPr>
          <w:color w:val="000000" w:themeColor="text1"/>
          <w:kern w:val="0"/>
          <w:sz w:val="28"/>
          <w:szCs w:val="28"/>
          <w:highlight w:val="none"/>
          <w14:textFill>
            <w14:solidFill>
              <w14:schemeClr w14:val="tx1"/>
            </w14:solidFill>
          </w14:textFill>
        </w:rPr>
        <w:t>法定代表人或其委托代理人（签字）：</w:t>
      </w:r>
    </w:p>
    <w:p w14:paraId="02F75C8C">
      <w:pPr>
        <w:autoSpaceDE w:val="0"/>
        <w:autoSpaceDN w:val="0"/>
        <w:adjustRightInd w:val="0"/>
        <w:spacing w:line="400" w:lineRule="atLeast"/>
        <w:ind w:firstLine="708" w:firstLineChars="253"/>
        <w:rPr>
          <w:color w:val="000000" w:themeColor="text1"/>
          <w:kern w:val="0"/>
          <w:sz w:val="28"/>
          <w:szCs w:val="28"/>
          <w:highlight w:val="none"/>
          <w:u w:val="single"/>
          <w14:textFill>
            <w14:solidFill>
              <w14:schemeClr w14:val="tx1"/>
            </w14:solidFill>
          </w14:textFill>
        </w:rPr>
      </w:pPr>
      <w:r>
        <w:rPr>
          <w:color w:val="000000" w:themeColor="text1"/>
          <w:kern w:val="0"/>
          <w:sz w:val="28"/>
          <w:szCs w:val="28"/>
          <w:highlight w:val="none"/>
          <w14:textFill>
            <w14:solidFill>
              <w14:schemeClr w14:val="tx1"/>
            </w14:solidFill>
          </w14:textFill>
        </w:rPr>
        <w:t>联系电话（手机）：</w:t>
      </w:r>
    </w:p>
    <w:p w14:paraId="17B37D0A">
      <w:pPr>
        <w:autoSpaceDE w:val="0"/>
        <w:autoSpaceDN w:val="0"/>
        <w:adjustRightInd w:val="0"/>
        <w:spacing w:line="400" w:lineRule="atLeast"/>
        <w:ind w:firstLine="560"/>
        <w:rPr>
          <w:color w:val="000000" w:themeColor="text1"/>
          <w:kern w:val="0"/>
          <w:sz w:val="28"/>
          <w:szCs w:val="28"/>
          <w:highlight w:val="none"/>
          <w:u w:val="single"/>
          <w14:textFill>
            <w14:solidFill>
              <w14:schemeClr w14:val="tx1"/>
            </w14:solidFill>
          </w14:textFill>
        </w:rPr>
      </w:pPr>
    </w:p>
    <w:p w14:paraId="31139322">
      <w:pPr>
        <w:autoSpaceDE w:val="0"/>
        <w:autoSpaceDN w:val="0"/>
        <w:adjustRightInd w:val="0"/>
        <w:spacing w:line="400" w:lineRule="atLeast"/>
        <w:ind w:firstLine="3080" w:firstLineChars="1100"/>
        <w:rPr>
          <w:color w:val="000000" w:themeColor="text1"/>
          <w:kern w:val="0"/>
          <w:sz w:val="28"/>
          <w:szCs w:val="28"/>
          <w:highlight w:val="none"/>
          <w14:textFill>
            <w14:solidFill>
              <w14:schemeClr w14:val="tx1"/>
            </w14:solidFill>
          </w14:textFill>
        </w:rPr>
      </w:pPr>
      <w:r>
        <w:rPr>
          <w:rFonts w:hint="eastAsia"/>
          <w:color w:val="000000" w:themeColor="text1"/>
          <w:kern w:val="0"/>
          <w:sz w:val="28"/>
          <w:szCs w:val="28"/>
          <w:highlight w:val="none"/>
          <w:lang w:eastAsia="zh-CN"/>
          <w14:textFill>
            <w14:solidFill>
              <w14:schemeClr w14:val="tx1"/>
            </w14:solidFill>
          </w14:textFill>
        </w:rPr>
        <w:t>202</w:t>
      </w:r>
      <w:r>
        <w:rPr>
          <w:rFonts w:hint="eastAsia"/>
          <w:color w:val="000000" w:themeColor="text1"/>
          <w:kern w:val="0"/>
          <w:sz w:val="28"/>
          <w:szCs w:val="28"/>
          <w:highlight w:val="none"/>
          <w:lang w:val="en-US" w:eastAsia="zh-CN"/>
          <w14:textFill>
            <w14:solidFill>
              <w14:schemeClr w14:val="tx1"/>
            </w14:solidFill>
          </w14:textFill>
        </w:rPr>
        <w:t>5</w:t>
      </w:r>
      <w:r>
        <w:rPr>
          <w:color w:val="000000" w:themeColor="text1"/>
          <w:kern w:val="0"/>
          <w:sz w:val="28"/>
          <w:szCs w:val="28"/>
          <w:highlight w:val="none"/>
          <w14:textFill>
            <w14:solidFill>
              <w14:schemeClr w14:val="tx1"/>
            </w14:solidFill>
          </w14:textFill>
        </w:rPr>
        <w:t>年</w:t>
      </w:r>
      <w:r>
        <w:rPr>
          <w:rFonts w:hint="eastAsia"/>
          <w:color w:val="000000" w:themeColor="text1"/>
          <w:kern w:val="0"/>
          <w:sz w:val="28"/>
          <w:szCs w:val="28"/>
          <w:highlight w:val="none"/>
          <w14:textFill>
            <w14:solidFill>
              <w14:schemeClr w14:val="tx1"/>
            </w14:solidFill>
          </w14:textFill>
        </w:rPr>
        <w:t xml:space="preserve">  </w:t>
      </w:r>
      <w:r>
        <w:rPr>
          <w:color w:val="000000" w:themeColor="text1"/>
          <w:kern w:val="0"/>
          <w:sz w:val="28"/>
          <w:szCs w:val="28"/>
          <w:highlight w:val="none"/>
          <w14:textFill>
            <w14:solidFill>
              <w14:schemeClr w14:val="tx1"/>
            </w14:solidFill>
          </w14:textFill>
        </w:rPr>
        <w:t>月</w:t>
      </w:r>
      <w:r>
        <w:rPr>
          <w:rFonts w:hint="eastAsia"/>
          <w:color w:val="000000" w:themeColor="text1"/>
          <w:kern w:val="0"/>
          <w:sz w:val="28"/>
          <w:szCs w:val="28"/>
          <w:highlight w:val="none"/>
          <w14:textFill>
            <w14:solidFill>
              <w14:schemeClr w14:val="tx1"/>
            </w14:solidFill>
          </w14:textFill>
        </w:rPr>
        <w:t xml:space="preserve">  </w:t>
      </w:r>
      <w:r>
        <w:rPr>
          <w:color w:val="000000" w:themeColor="text1"/>
          <w:kern w:val="0"/>
          <w:sz w:val="28"/>
          <w:szCs w:val="28"/>
          <w:highlight w:val="none"/>
          <w14:textFill>
            <w14:solidFill>
              <w14:schemeClr w14:val="tx1"/>
            </w14:solidFill>
          </w14:textFill>
        </w:rPr>
        <w:t>日</w:t>
      </w:r>
    </w:p>
    <w:p w14:paraId="06032A99">
      <w:pPr>
        <w:ind w:firstLine="720"/>
        <w:rPr>
          <w:color w:val="000000" w:themeColor="text1"/>
          <w:sz w:val="36"/>
          <w:szCs w:val="36"/>
          <w:highlight w:val="none"/>
          <w14:textFill>
            <w14:solidFill>
              <w14:schemeClr w14:val="tx1"/>
            </w14:solidFill>
          </w14:textFill>
        </w:rPr>
      </w:pPr>
      <w:bookmarkStart w:id="214" w:name="_Toc152045787"/>
      <w:bookmarkStart w:id="215" w:name="_Toc247514246"/>
      <w:bookmarkStart w:id="216" w:name="_Toc144974856"/>
      <w:bookmarkStart w:id="217" w:name="_Toc247527827"/>
      <w:bookmarkStart w:id="218" w:name="_Toc443200890"/>
      <w:bookmarkStart w:id="219" w:name="_Toc152042576"/>
      <w:r>
        <w:rPr>
          <w:color w:val="000000" w:themeColor="text1"/>
          <w:sz w:val="36"/>
          <w:szCs w:val="36"/>
          <w:highlight w:val="none"/>
          <w14:textFill>
            <w14:solidFill>
              <w14:schemeClr w14:val="tx1"/>
            </w14:solidFill>
          </w14:textFill>
        </w:rPr>
        <w:br w:type="page"/>
      </w:r>
    </w:p>
    <w:p w14:paraId="3658E3E0">
      <w:pPr>
        <w:ind w:firstLine="0" w:firstLineChars="0"/>
        <w:jc w:val="center"/>
        <w:rPr>
          <w:color w:val="000000" w:themeColor="text1"/>
          <w:sz w:val="36"/>
          <w:szCs w:val="36"/>
          <w:highlight w:val="none"/>
          <w14:textFill>
            <w14:solidFill>
              <w14:schemeClr w14:val="tx1"/>
            </w14:solidFill>
          </w14:textFill>
        </w:rPr>
      </w:pPr>
    </w:p>
    <w:p w14:paraId="6F6229A9">
      <w:pPr>
        <w:ind w:firstLine="0" w:firstLineChars="0"/>
        <w:jc w:val="center"/>
        <w:rPr>
          <w:color w:val="000000" w:themeColor="text1"/>
          <w:sz w:val="36"/>
          <w:szCs w:val="36"/>
          <w:highlight w:val="none"/>
          <w14:textFill>
            <w14:solidFill>
              <w14:schemeClr w14:val="tx1"/>
            </w14:solidFill>
          </w14:textFill>
        </w:rPr>
      </w:pPr>
    </w:p>
    <w:p w14:paraId="0090922A">
      <w:pPr>
        <w:ind w:firstLine="0" w:firstLineChars="0"/>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目</w:t>
      </w:r>
      <w:r>
        <w:rPr>
          <w:rFonts w:hint="eastAsia"/>
          <w:b/>
          <w:color w:val="000000" w:themeColor="text1"/>
          <w:sz w:val="36"/>
          <w:szCs w:val="36"/>
          <w:highlight w:val="none"/>
          <w14:textFill>
            <w14:solidFill>
              <w14:schemeClr w14:val="tx1"/>
            </w14:solidFill>
          </w14:textFill>
        </w:rPr>
        <w:t xml:space="preserve">  </w:t>
      </w:r>
      <w:r>
        <w:rPr>
          <w:b/>
          <w:color w:val="000000" w:themeColor="text1"/>
          <w:sz w:val="36"/>
          <w:szCs w:val="36"/>
          <w:highlight w:val="none"/>
          <w14:textFill>
            <w14:solidFill>
              <w14:schemeClr w14:val="tx1"/>
            </w14:solidFill>
          </w14:textFill>
        </w:rPr>
        <w:t>录</w:t>
      </w:r>
      <w:bookmarkEnd w:id="214"/>
      <w:bookmarkEnd w:id="215"/>
      <w:bookmarkEnd w:id="216"/>
      <w:bookmarkEnd w:id="217"/>
      <w:bookmarkEnd w:id="218"/>
      <w:bookmarkEnd w:id="219"/>
    </w:p>
    <w:p w14:paraId="02507F6F">
      <w:pPr>
        <w:pStyle w:val="18"/>
        <w:ind w:firstLine="420"/>
        <w:rPr>
          <w:color w:val="000000" w:themeColor="text1"/>
          <w:highlight w:val="none"/>
          <w14:textFill>
            <w14:solidFill>
              <w14:schemeClr w14:val="tx1"/>
            </w14:solidFill>
          </w14:textFill>
        </w:rPr>
      </w:pPr>
    </w:p>
    <w:p w14:paraId="6905BE13">
      <w:pPr>
        <w:pStyle w:val="18"/>
        <w:ind w:firstLine="420"/>
        <w:rPr>
          <w:color w:val="000000" w:themeColor="text1"/>
          <w:highlight w:val="none"/>
          <w14:textFill>
            <w14:solidFill>
              <w14:schemeClr w14:val="tx1"/>
            </w14:solidFill>
          </w14:textFill>
        </w:rPr>
      </w:pPr>
    </w:p>
    <w:p w14:paraId="35E54B1E">
      <w:pPr>
        <w:spacing w:line="400" w:lineRule="atLeast"/>
        <w:ind w:firstLine="600"/>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注：各供应商必须拟定目录</w:t>
      </w:r>
    </w:p>
    <w:p w14:paraId="39228247">
      <w:pPr>
        <w:widowControl/>
        <w:spacing w:line="400" w:lineRule="atLeas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778050C">
      <w:pPr>
        <w:pStyle w:val="3"/>
        <w:spacing w:line="400" w:lineRule="atLeast"/>
        <w:ind w:firstLine="0" w:firstLineChars="0"/>
        <w:jc w:val="center"/>
        <w:rPr>
          <w:rFonts w:ascii="Times New Roman" w:hAnsi="Times New Roman"/>
          <w:b w:val="0"/>
          <w:color w:val="000000" w:themeColor="text1"/>
          <w:highlight w:val="none"/>
          <w14:textFill>
            <w14:solidFill>
              <w14:schemeClr w14:val="tx1"/>
            </w14:solidFill>
          </w14:textFill>
        </w:rPr>
      </w:pPr>
      <w:bookmarkStart w:id="220" w:name="_Toc27187"/>
      <w:bookmarkStart w:id="221" w:name="_Toc443200892"/>
      <w:bookmarkStart w:id="222" w:name="_Toc247527828"/>
      <w:bookmarkStart w:id="223" w:name="_Toc247514247"/>
      <w:bookmarkStart w:id="224" w:name="_Toc144974857"/>
      <w:bookmarkStart w:id="225" w:name="_Toc152042577"/>
      <w:bookmarkStart w:id="226" w:name="_Toc152045788"/>
      <w:r>
        <w:rPr>
          <w:rFonts w:ascii="Times New Roman" w:hAnsi="Times New Roman"/>
          <w:b w:val="0"/>
          <w:color w:val="000000" w:themeColor="text1"/>
          <w:highlight w:val="none"/>
          <w14:textFill>
            <w14:solidFill>
              <w14:schemeClr w14:val="tx1"/>
            </w14:solidFill>
          </w14:textFill>
        </w:rPr>
        <w:t>一、响应函</w:t>
      </w:r>
      <w:bookmarkEnd w:id="220"/>
    </w:p>
    <w:p w14:paraId="27167DEA">
      <w:pPr>
        <w:pStyle w:val="114"/>
        <w:spacing w:line="400" w:lineRule="atLeast"/>
        <w:ind w:firstLine="0" w:firstLineChars="0"/>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iCs/>
          <w:color w:val="000000" w:themeColor="text1"/>
          <w:sz w:val="24"/>
          <w:szCs w:val="24"/>
          <w:highlight w:val="none"/>
          <w:u w:val="single"/>
          <w14:textFill>
            <w14:solidFill>
              <w14:schemeClr w14:val="tx1"/>
            </w14:solidFill>
          </w14:textFill>
        </w:rPr>
        <w:t>致</w:t>
      </w:r>
      <w:r>
        <w:rPr>
          <w:rFonts w:ascii="Times New Roman" w:hAnsi="Times New Roman" w:eastAsia="宋体"/>
          <w:iCs/>
          <w:color w:val="000000" w:themeColor="text1"/>
          <w:sz w:val="24"/>
          <w:szCs w:val="24"/>
          <w:highlight w:val="none"/>
          <w:u w:val="single"/>
          <w14:textFill>
            <w14:solidFill>
              <w14:schemeClr w14:val="tx1"/>
            </w14:solidFill>
          </w14:textFill>
        </w:rPr>
        <w:t>（采购人）</w:t>
      </w:r>
      <w:r>
        <w:rPr>
          <w:rFonts w:ascii="Times New Roman" w:hAnsi="Times New Roman" w:eastAsia="宋体"/>
          <w:color w:val="000000" w:themeColor="text1"/>
          <w:sz w:val="24"/>
          <w:szCs w:val="24"/>
          <w:highlight w:val="none"/>
          <w14:textFill>
            <w14:solidFill>
              <w14:schemeClr w14:val="tx1"/>
            </w14:solidFill>
          </w14:textFill>
        </w:rPr>
        <w:t>：</w:t>
      </w:r>
    </w:p>
    <w:p w14:paraId="2BD85AF7">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1.根据已收到</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u w:val="single"/>
          <w14:textFill>
            <w14:solidFill>
              <w14:schemeClr w14:val="tx1"/>
            </w14:solidFill>
          </w14:textFill>
        </w:rPr>
        <w:t xml:space="preserve">           </w:t>
      </w:r>
      <w:r>
        <w:rPr>
          <w:rFonts w:hint="eastAsia" w:ascii="宋体" w:hAnsi="宋体"/>
          <w:bCs/>
          <w:sz w:val="24"/>
          <w:highlight w:val="none"/>
          <w:u w:val="single"/>
        </w:rPr>
        <w:t>（项目名称）</w:t>
      </w:r>
      <w:r>
        <w:rPr>
          <w:color w:val="000000" w:themeColor="text1"/>
          <w:sz w:val="24"/>
          <w:highlight w:val="none"/>
          <w14:textFill>
            <w14:solidFill>
              <w14:schemeClr w14:val="tx1"/>
            </w14:solidFill>
          </w14:textFill>
        </w:rPr>
        <w:t>竞争性谈判文件，我单位经踏勘项目现场和研究上述谈判文件的</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须知、合同条款、图纸、工程建设标准和</w:t>
      </w:r>
      <w:r>
        <w:rPr>
          <w:rFonts w:hint="eastAsia"/>
          <w:color w:val="000000" w:themeColor="text1"/>
          <w:sz w:val="24"/>
          <w:highlight w:val="none"/>
          <w:lang w:eastAsia="zh-CN"/>
          <w14:textFill>
            <w14:solidFill>
              <w14:schemeClr w14:val="tx1"/>
            </w14:solidFill>
          </w14:textFill>
        </w:rPr>
        <w:t>报价清单</w:t>
      </w:r>
      <w:r>
        <w:rPr>
          <w:color w:val="000000" w:themeColor="text1"/>
          <w:sz w:val="24"/>
          <w:highlight w:val="none"/>
          <w14:textFill>
            <w14:solidFill>
              <w14:schemeClr w14:val="tx1"/>
            </w14:solidFill>
          </w14:textFill>
        </w:rPr>
        <w:t>及其他有关文件后，</w:t>
      </w:r>
      <w:r>
        <w:rPr>
          <w:rFonts w:hint="eastAsia"/>
          <w:color w:val="000000" w:themeColor="text1"/>
          <w:sz w:val="24"/>
          <w:highlight w:val="none"/>
          <w14:textFill>
            <w14:solidFill>
              <w14:schemeClr w14:val="tx1"/>
            </w14:solidFill>
          </w14:textFill>
        </w:rPr>
        <w:t>我方愿以</w:t>
      </w:r>
      <w:r>
        <w:rPr>
          <w:rFonts w:hint="eastAsia"/>
          <w:color w:val="000000" w:themeColor="text1"/>
          <w:sz w:val="24"/>
          <w:highlight w:val="none"/>
          <w:lang w:val="en-US" w:eastAsia="zh-CN"/>
          <w14:textFill>
            <w14:solidFill>
              <w14:schemeClr w14:val="tx1"/>
            </w14:solidFill>
          </w14:textFill>
        </w:rPr>
        <w:t>下浮率</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成交价=控制价×（1-下浮率））作为本项目报价</w:t>
      </w:r>
      <w:r>
        <w:rPr>
          <w:color w:val="000000" w:themeColor="text1"/>
          <w:sz w:val="24"/>
          <w:highlight w:val="none"/>
          <w14:textFill>
            <w14:solidFill>
              <w14:schemeClr w14:val="tx1"/>
            </w14:solidFill>
          </w14:textFill>
        </w:rPr>
        <w:t>，其中增值税税率为：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13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%，并按上述图纸、合同条款、工程建设标准和</w:t>
      </w:r>
      <w:r>
        <w:rPr>
          <w:rFonts w:hint="eastAsia"/>
          <w:color w:val="000000" w:themeColor="text1"/>
          <w:sz w:val="24"/>
          <w:highlight w:val="none"/>
          <w:lang w:eastAsia="zh-CN"/>
          <w14:textFill>
            <w14:solidFill>
              <w14:schemeClr w14:val="tx1"/>
            </w14:solidFill>
          </w14:textFill>
        </w:rPr>
        <w:t>报价清单</w:t>
      </w:r>
      <w:r>
        <w:rPr>
          <w:color w:val="000000" w:themeColor="text1"/>
          <w:sz w:val="24"/>
          <w:highlight w:val="none"/>
          <w14:textFill>
            <w14:solidFill>
              <w14:schemeClr w14:val="tx1"/>
            </w14:solidFill>
          </w14:textFill>
        </w:rPr>
        <w:t>的条件要求承包上述工程的施工、竣工，并承担任何质量缺陷保修责任。</w:t>
      </w:r>
    </w:p>
    <w:p w14:paraId="05FACBFE">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2.我方保证工程质量达到_______标准，</w:t>
      </w:r>
      <w:r>
        <w:rPr>
          <w:rFonts w:hint="eastAsia" w:ascii="宋体" w:hAnsi="宋体" w:cs="仿宋"/>
          <w:sz w:val="24"/>
          <w:highlight w:val="none"/>
        </w:rPr>
        <w:t>符合竞争性谈判文件及采购需求，</w:t>
      </w:r>
      <w:r>
        <w:rPr>
          <w:color w:val="000000" w:themeColor="text1"/>
          <w:sz w:val="24"/>
          <w:highlight w:val="none"/>
          <w14:textFill>
            <w14:solidFill>
              <w14:schemeClr w14:val="tx1"/>
            </w14:solidFill>
          </w14:textFill>
        </w:rPr>
        <w:t>工期________日历天。</w:t>
      </w:r>
    </w:p>
    <w:p w14:paraId="53D16A26">
      <w:pPr>
        <w:spacing w:line="400" w:lineRule="atLeast"/>
        <w:ind w:firstLine="48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我方授权委托</w:t>
      </w:r>
      <w:r>
        <w:rPr>
          <w:rFonts w:hint="eastAsia"/>
          <w:bCs/>
          <w:color w:val="000000" w:themeColor="text1"/>
          <w:sz w:val="24"/>
          <w:highlight w:val="none"/>
          <w:u w:val="single"/>
          <w:lang w:val="en-US" w:eastAsia="zh-CN"/>
          <w14:textFill>
            <w14:solidFill>
              <w14:schemeClr w14:val="tx1"/>
            </w14:solidFill>
          </w14:textFill>
        </w:rPr>
        <w:t xml:space="preserve">      </w:t>
      </w:r>
      <w:r>
        <w:rPr>
          <w:bCs/>
          <w:color w:val="000000" w:themeColor="text1"/>
          <w:sz w:val="24"/>
          <w:highlight w:val="none"/>
          <w14:textFill>
            <w14:solidFill>
              <w14:schemeClr w14:val="tx1"/>
            </w14:solidFill>
          </w14:textFill>
        </w:rPr>
        <w:t>同志（身份证号：</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电话：_______________</w:t>
      </w:r>
      <w:r>
        <w:rPr>
          <w:bCs/>
          <w:color w:val="000000" w:themeColor="text1"/>
          <w:sz w:val="24"/>
          <w:highlight w:val="none"/>
          <w14:textFill>
            <w14:solidFill>
              <w14:schemeClr w14:val="tx1"/>
            </w14:solidFill>
          </w14:textFill>
        </w:rPr>
        <w:t>）作为我方代表参加谈判会议。</w:t>
      </w:r>
    </w:p>
    <w:p w14:paraId="58FACA2E">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我方承诺在</w:t>
      </w:r>
      <w:r>
        <w:rPr>
          <w:rFonts w:hint="eastAsia"/>
          <w:color w:val="000000" w:themeColor="text1"/>
          <w:sz w:val="24"/>
          <w:highlight w:val="none"/>
          <w14:textFill>
            <w14:solidFill>
              <w14:schemeClr w14:val="tx1"/>
            </w14:solidFill>
          </w14:textFill>
        </w:rPr>
        <w:t>谈判</w:t>
      </w:r>
      <w:r>
        <w:rPr>
          <w:color w:val="000000" w:themeColor="text1"/>
          <w:sz w:val="24"/>
          <w:highlight w:val="none"/>
          <w14:textFill>
            <w14:solidFill>
              <w14:schemeClr w14:val="tx1"/>
            </w14:solidFill>
          </w14:textFill>
        </w:rPr>
        <w:t>文件规定的</w:t>
      </w:r>
      <w:r>
        <w:rPr>
          <w:rFonts w:hint="eastAsia"/>
          <w:color w:val="000000" w:themeColor="text1"/>
          <w:sz w:val="24"/>
          <w:highlight w:val="none"/>
          <w14:textFill>
            <w14:solidFill>
              <w14:schemeClr w14:val="tx1"/>
            </w14:solidFill>
          </w14:textFill>
        </w:rPr>
        <w:t>谈判</w:t>
      </w:r>
      <w:r>
        <w:rPr>
          <w:color w:val="000000" w:themeColor="text1"/>
          <w:sz w:val="24"/>
          <w:highlight w:val="none"/>
          <w14:textFill>
            <w14:solidFill>
              <w14:schemeClr w14:val="tx1"/>
            </w14:solidFill>
          </w14:textFill>
        </w:rPr>
        <w:t>有效期内不修改、撤销响应文件</w:t>
      </w:r>
      <w:r>
        <w:rPr>
          <w:color w:val="000000"/>
          <w:sz w:val="24"/>
          <w:highlight w:val="none"/>
        </w:rPr>
        <w:t>，</w:t>
      </w:r>
      <w:r>
        <w:rPr>
          <w:rFonts w:hint="eastAsia" w:ascii="宋体" w:hAnsi="宋体"/>
          <w:bCs/>
          <w:sz w:val="24"/>
          <w:highlight w:val="none"/>
        </w:rPr>
        <w:t>在本次谈判过程中无弄虚作假和串通参与谈判等违法、违规行为，并愿意承担因弄虚作假和串通参与谈判所引起的一切法律责任</w:t>
      </w:r>
      <w:r>
        <w:rPr>
          <w:color w:val="000000" w:themeColor="text1"/>
          <w:sz w:val="24"/>
          <w:highlight w:val="none"/>
          <w14:textFill>
            <w14:solidFill>
              <w14:schemeClr w14:val="tx1"/>
            </w14:solidFill>
          </w14:textFill>
        </w:rPr>
        <w:t>。</w:t>
      </w:r>
    </w:p>
    <w:p w14:paraId="3B000312">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如果我方成交，将派出</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bCs/>
          <w:color w:val="000000" w:themeColor="text1"/>
          <w:sz w:val="24"/>
          <w:highlight w:val="none"/>
          <w14:textFill>
            <w14:solidFill>
              <w14:schemeClr w14:val="tx1"/>
            </w14:solidFill>
          </w14:textFill>
        </w:rPr>
        <w:t>身份证号：</w:t>
      </w:r>
      <w:r>
        <w:rPr>
          <w:rFonts w:hint="eastAsia"/>
          <w:bCs/>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）作为本工程的项目负责人。</w:t>
      </w:r>
    </w:p>
    <w:p w14:paraId="3C0B1028">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如我方成交：</w:t>
      </w:r>
    </w:p>
    <w:p w14:paraId="68117ECE">
      <w:pPr>
        <w:spacing w:line="400" w:lineRule="atLeast"/>
        <w:ind w:firstLine="283" w:firstLineChars="11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（1）我方承诺在收到成交通知书后，在成交通知书规定的期限内与你方签订合同。</w:t>
      </w:r>
    </w:p>
    <w:p w14:paraId="6DB9621A">
      <w:pPr>
        <w:spacing w:line="400" w:lineRule="atLeast"/>
        <w:ind w:firstLine="283" w:firstLineChars="11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（2）我方承诺按照谈判文件规定向你方递交履约保证金。</w:t>
      </w:r>
    </w:p>
    <w:p w14:paraId="4E12D557">
      <w:pPr>
        <w:spacing w:line="400" w:lineRule="atLeast"/>
        <w:ind w:firstLine="283" w:firstLineChars="118"/>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（3）我方将严格履行响应文件中的全部承诺和责任，并遵守谈判文件中对供应商的所有规定。</w:t>
      </w:r>
    </w:p>
    <w:p w14:paraId="73F38807">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我方在此声明，所递交的响应文件及有关资料内容完整、真实和准确，且不存在第二章</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供应商须知</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第1.4.3项规定的任何一种情形。</w:t>
      </w:r>
    </w:p>
    <w:p w14:paraId="51963209">
      <w:pPr>
        <w:adjustRightInd w:val="0"/>
        <w:snapToGrid w:val="0"/>
        <w:spacing w:line="400" w:lineRule="atLeast"/>
        <w:ind w:firstLine="48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w:t>
      </w:r>
      <w:r>
        <w:rPr>
          <w:rFonts w:hint="eastAsia"/>
          <w:bCs/>
          <w:color w:val="000000" w:themeColor="text1"/>
          <w:sz w:val="24"/>
          <w:highlight w:val="none"/>
          <w:lang w:eastAsia="zh-CN"/>
          <w14:textFill>
            <w14:solidFill>
              <w14:schemeClr w14:val="tx1"/>
            </w14:solidFill>
          </w14:textFill>
        </w:rPr>
        <w:t>.</w:t>
      </w:r>
      <w:r>
        <w:rPr>
          <w:bCs/>
          <w:color w:val="000000" w:themeColor="text1"/>
          <w:sz w:val="24"/>
          <w:highlight w:val="none"/>
          <w14:textFill>
            <w14:solidFill>
              <w14:schemeClr w14:val="tx1"/>
            </w14:solidFill>
          </w14:textFill>
        </w:rPr>
        <w:t>我方在此声明，不出借（挂靠）营业执照（资质证书），如成交中、成交后被发现存在出借（挂靠）营业执照（资质证书）的行为，愿意无条件接受被取消成交资格及成交（候选人）资格、保证金不予退还、履约保证金不予退还、合同解除及清除出场，一切损失自行承担。</w:t>
      </w:r>
    </w:p>
    <w:p w14:paraId="3F28E46F">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（其他补充说明）。</w:t>
      </w:r>
    </w:p>
    <w:p w14:paraId="00526110">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highlight w:val="none"/>
          <w:u w:val="singl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供应商(公章</w:t>
      </w:r>
      <w:r>
        <w:rPr>
          <w:rFonts w:hint="eastAsia" w:ascii="Times New Roman" w:hAnsi="Times New Roman" w:eastAsia="宋体"/>
          <w:color w:val="000000" w:themeColor="text1"/>
          <w:sz w:val="24"/>
          <w:szCs w:val="24"/>
          <w:highlight w:val="none"/>
          <w:lang w:eastAsia="zh-CN"/>
          <w14:textFill>
            <w14:solidFill>
              <w14:schemeClr w14:val="tx1"/>
            </w14:solidFill>
          </w14:textFill>
        </w:rPr>
        <w:t>）</w:t>
      </w:r>
      <w:r>
        <w:rPr>
          <w:rFonts w:ascii="Times New Roman" w:hAnsi="Times New Roman" w:eastAsia="宋体"/>
          <w:color w:val="000000" w:themeColor="text1"/>
          <w:sz w:val="24"/>
          <w:szCs w:val="24"/>
          <w:highlight w:val="none"/>
          <w14:textFill>
            <w14:solidFill>
              <w14:schemeClr w14:val="tx1"/>
            </w14:solidFill>
          </w14:textFill>
        </w:rPr>
        <w:t>：</w:t>
      </w:r>
    </w:p>
    <w:p w14:paraId="234EA465">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highlight w:val="none"/>
          <w:u w:val="singl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法人代表或授权委托人（签字或印章）：</w:t>
      </w:r>
    </w:p>
    <w:p w14:paraId="0B984BB3">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日期：_____________________________________</w:t>
      </w:r>
    </w:p>
    <w:p w14:paraId="17749981">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highlight w:val="none"/>
          <w14:textFill>
            <w14:solidFill>
              <w14:schemeClr w14:val="tx1"/>
            </w14:solidFill>
          </w14:textFill>
        </w:rPr>
      </w:pPr>
    </w:p>
    <w:p w14:paraId="02473F0A">
      <w:pPr>
        <w:pStyle w:val="114"/>
        <w:tabs>
          <w:tab w:val="left" w:pos="5665"/>
          <w:tab w:val="right" w:pos="8360"/>
        </w:tabs>
        <w:spacing w:line="400" w:lineRule="atLeast"/>
        <w:ind w:right="42" w:firstLine="2834" w:firstLineChars="1181"/>
        <w:rPr>
          <w:rFonts w:ascii="Times New Roman" w:hAnsi="Times New Roman" w:eastAsia="宋体"/>
          <w:color w:val="000000" w:themeColor="text1"/>
          <w:sz w:val="24"/>
          <w:szCs w:val="24"/>
          <w:highlight w:val="none"/>
          <w14:textFill>
            <w14:solidFill>
              <w14:schemeClr w14:val="tx1"/>
            </w14:solidFill>
          </w14:textFill>
        </w:rPr>
      </w:pPr>
    </w:p>
    <w:p w14:paraId="3A83DAD6">
      <w:pPr>
        <w:pStyle w:val="114"/>
        <w:tabs>
          <w:tab w:val="left" w:pos="5665"/>
          <w:tab w:val="right" w:pos="8360"/>
        </w:tabs>
        <w:spacing w:line="400" w:lineRule="atLeast"/>
        <w:ind w:left="0" w:leftChars="0" w:right="42" w:firstLine="0" w:firstLineChars="0"/>
        <w:rPr>
          <w:rFonts w:ascii="Times New Roman" w:hAnsi="Times New Roman" w:eastAsia="宋体"/>
          <w:color w:val="000000" w:themeColor="text1"/>
          <w:sz w:val="24"/>
          <w:szCs w:val="24"/>
          <w:highlight w:val="none"/>
          <w14:textFill>
            <w14:solidFill>
              <w14:schemeClr w14:val="tx1"/>
            </w14:solidFill>
          </w14:textFill>
        </w:rPr>
      </w:pPr>
    </w:p>
    <w:p w14:paraId="5E322974">
      <w:pPr>
        <w:pStyle w:val="3"/>
        <w:spacing w:line="400" w:lineRule="atLeast"/>
        <w:ind w:firstLine="0" w:firstLineChars="0"/>
        <w:jc w:val="center"/>
        <w:rPr>
          <w:rFonts w:ascii="Times New Roman" w:hAnsi="Times New Roman"/>
          <w:b w:val="0"/>
          <w:color w:val="000000" w:themeColor="text1"/>
          <w:highlight w:val="none"/>
          <w14:textFill>
            <w14:solidFill>
              <w14:schemeClr w14:val="tx1"/>
            </w14:solidFill>
          </w14:textFill>
        </w:rPr>
      </w:pPr>
      <w:bookmarkStart w:id="227" w:name="_Toc21801"/>
      <w:r>
        <w:rPr>
          <w:rFonts w:ascii="Times New Roman" w:hAnsi="Times New Roman"/>
          <w:b w:val="0"/>
          <w:color w:val="000000" w:themeColor="text1"/>
          <w:highlight w:val="none"/>
          <w14:textFill>
            <w14:solidFill>
              <w14:schemeClr w14:val="tx1"/>
            </w14:solidFill>
          </w14:textFill>
        </w:rPr>
        <w:t>二、法定代表人身份证明</w:t>
      </w:r>
      <w:bookmarkEnd w:id="227"/>
    </w:p>
    <w:p w14:paraId="25A78417">
      <w:pPr>
        <w:spacing w:line="400" w:lineRule="atLeast"/>
        <w:ind w:firstLine="400"/>
        <w:rPr>
          <w:color w:val="000000" w:themeColor="text1"/>
          <w:sz w:val="20"/>
          <w:szCs w:val="20"/>
          <w:highlight w:val="none"/>
          <w14:textFill>
            <w14:solidFill>
              <w14:schemeClr w14:val="tx1"/>
            </w14:solidFill>
          </w14:textFill>
        </w:rPr>
      </w:pPr>
    </w:p>
    <w:p w14:paraId="09B617B4">
      <w:pPr>
        <w:spacing w:line="400" w:lineRule="atLeast"/>
        <w:ind w:firstLine="420"/>
        <w:rPr>
          <w:color w:val="000000" w:themeColor="text1"/>
          <w:szCs w:val="21"/>
          <w:highlight w:val="none"/>
          <w14:textFill>
            <w14:solidFill>
              <w14:schemeClr w14:val="tx1"/>
            </w14:solidFill>
          </w14:textFill>
        </w:rPr>
      </w:pPr>
    </w:p>
    <w:p w14:paraId="666F50A4">
      <w:pPr>
        <w:spacing w:line="400" w:lineRule="atLeast"/>
        <w:ind w:firstLine="480"/>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供应商名称：</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58D1CFC8">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单位性质：</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0CF21D7C">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1D2D2B51">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成立时间：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2E9455B">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经营期限：</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67F62161">
      <w:pPr>
        <w:spacing w:line="400" w:lineRule="atLeast"/>
        <w:ind w:firstLine="480"/>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姓名：</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性别：</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年龄：</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职务：</w:t>
      </w:r>
      <w:r>
        <w:rPr>
          <w:rFonts w:hint="eastAsia"/>
          <w:color w:val="000000" w:themeColor="text1"/>
          <w:sz w:val="24"/>
          <w:highlight w:val="none"/>
          <w:u w:val="single"/>
          <w14:textFill>
            <w14:solidFill>
              <w14:schemeClr w14:val="tx1"/>
            </w14:solidFill>
          </w14:textFill>
        </w:rPr>
        <w:t xml:space="preserve">      </w:t>
      </w:r>
    </w:p>
    <w:p w14:paraId="6C7EB475">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系</w:t>
      </w: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（供应商名称）的法定代表人。</w:t>
      </w:r>
    </w:p>
    <w:p w14:paraId="30BBE8E1">
      <w:pPr>
        <w:spacing w:line="400" w:lineRule="atLeast"/>
        <w:ind w:firstLine="420"/>
        <w:jc w:val="left"/>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258445</wp:posOffset>
                </wp:positionV>
                <wp:extent cx="5506720" cy="3255645"/>
                <wp:effectExtent l="4445" t="4445" r="13335" b="16510"/>
                <wp:wrapNone/>
                <wp:docPr id="5" name="Text Box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4FFAD31E">
                            <w:pPr>
                              <w:spacing w:line="360" w:lineRule="auto"/>
                              <w:ind w:firstLine="480"/>
                              <w:rPr>
                                <w:sz w:val="24"/>
                              </w:rPr>
                            </w:pPr>
                          </w:p>
                          <w:p w14:paraId="5086B6CB">
                            <w:pPr>
                              <w:spacing w:line="360" w:lineRule="auto"/>
                              <w:ind w:firstLine="480"/>
                              <w:rPr>
                                <w:sz w:val="24"/>
                              </w:rPr>
                            </w:pPr>
                            <w:r>
                              <w:rPr>
                                <w:rFonts w:hint="eastAsia"/>
                                <w:sz w:val="24"/>
                              </w:rPr>
                              <w:t>附：法定代表人身份证复印件。</w:t>
                            </w:r>
                          </w:p>
                          <w:p w14:paraId="0D9951A1">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05pt;margin-top:20.35pt;height:256.35pt;width:433.6pt;z-index:251661312;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RTlQ&#10;gx0CAABlBAAADgAAAAAAAAABACAAAAAoAQAAZHJzL2Uyb0RvYy54bWxQSwUGAAAAAAYABgBZAQAA&#10;twUAAAAA&#10;">
                <v:fill on="t" focussize="0,0"/>
                <v:stroke color="#000000" miterlimit="8" joinstyle="miter"/>
                <v:imagedata o:title=""/>
                <o:lock v:ext="edit" aspectratio="f"/>
                <v:textbox>
                  <w:txbxContent>
                    <w:p w14:paraId="4FFAD31E">
                      <w:pPr>
                        <w:spacing w:line="360" w:lineRule="auto"/>
                        <w:ind w:firstLine="480"/>
                        <w:rPr>
                          <w:sz w:val="24"/>
                        </w:rPr>
                      </w:pPr>
                    </w:p>
                    <w:p w14:paraId="5086B6CB">
                      <w:pPr>
                        <w:spacing w:line="360" w:lineRule="auto"/>
                        <w:ind w:firstLine="480"/>
                        <w:rPr>
                          <w:sz w:val="24"/>
                        </w:rPr>
                      </w:pPr>
                      <w:r>
                        <w:rPr>
                          <w:rFonts w:hint="eastAsia"/>
                          <w:sz w:val="24"/>
                        </w:rPr>
                        <w:t>附：法定代表人身份证复印件。</w:t>
                      </w:r>
                    </w:p>
                    <w:p w14:paraId="0D9951A1">
                      <w:pPr>
                        <w:ind w:firstLine="420"/>
                      </w:pPr>
                    </w:p>
                  </w:txbxContent>
                </v:textbox>
              </v:shape>
            </w:pict>
          </mc:Fallback>
        </mc:AlternateContent>
      </w:r>
      <w:r>
        <w:rPr>
          <w:color w:val="000000" w:themeColor="text1"/>
          <w:sz w:val="24"/>
          <w:highlight w:val="none"/>
          <w14:textFill>
            <w14:solidFill>
              <w14:schemeClr w14:val="tx1"/>
            </w14:solidFill>
          </w14:textFill>
        </w:rPr>
        <w:t>特此证明。</w:t>
      </w:r>
    </w:p>
    <w:p w14:paraId="45F15490">
      <w:pPr>
        <w:spacing w:line="400" w:lineRule="atLeast"/>
        <w:ind w:firstLine="420"/>
        <w:rPr>
          <w:color w:val="000000" w:themeColor="text1"/>
          <w:szCs w:val="21"/>
          <w:highlight w:val="none"/>
          <w14:textFill>
            <w14:solidFill>
              <w14:schemeClr w14:val="tx1"/>
            </w14:solidFill>
          </w14:textFill>
        </w:rPr>
      </w:pPr>
    </w:p>
    <w:p w14:paraId="75CFB45F">
      <w:pPr>
        <w:spacing w:line="400" w:lineRule="atLeast"/>
        <w:ind w:firstLine="480"/>
        <w:rPr>
          <w:color w:val="000000" w:themeColor="text1"/>
          <w:sz w:val="24"/>
          <w:highlight w:val="none"/>
          <w14:textFill>
            <w14:solidFill>
              <w14:schemeClr w14:val="tx1"/>
            </w14:solidFill>
          </w14:textFill>
        </w:rPr>
      </w:pPr>
    </w:p>
    <w:p w14:paraId="0857B437">
      <w:pPr>
        <w:spacing w:line="400" w:lineRule="atLeast"/>
        <w:ind w:firstLine="480"/>
        <w:rPr>
          <w:color w:val="000000" w:themeColor="text1"/>
          <w:sz w:val="24"/>
          <w:highlight w:val="none"/>
          <w14:textFill>
            <w14:solidFill>
              <w14:schemeClr w14:val="tx1"/>
            </w14:solidFill>
          </w14:textFill>
        </w:rPr>
      </w:pPr>
    </w:p>
    <w:p w14:paraId="088A3E50">
      <w:pPr>
        <w:spacing w:line="400" w:lineRule="atLeast"/>
        <w:ind w:firstLine="480"/>
        <w:rPr>
          <w:color w:val="000000" w:themeColor="text1"/>
          <w:sz w:val="24"/>
          <w:highlight w:val="none"/>
          <w14:textFill>
            <w14:solidFill>
              <w14:schemeClr w14:val="tx1"/>
            </w14:solidFill>
          </w14:textFill>
        </w:rPr>
      </w:pPr>
    </w:p>
    <w:p w14:paraId="43E4BDD2">
      <w:pPr>
        <w:spacing w:line="400" w:lineRule="atLeast"/>
        <w:ind w:firstLine="480"/>
        <w:rPr>
          <w:color w:val="000000" w:themeColor="text1"/>
          <w:sz w:val="24"/>
          <w:highlight w:val="none"/>
          <w14:textFill>
            <w14:solidFill>
              <w14:schemeClr w14:val="tx1"/>
            </w14:solidFill>
          </w14:textFill>
        </w:rPr>
      </w:pPr>
    </w:p>
    <w:p w14:paraId="0155355C">
      <w:pPr>
        <w:spacing w:line="400" w:lineRule="atLeast"/>
        <w:ind w:firstLine="480"/>
        <w:rPr>
          <w:color w:val="000000" w:themeColor="text1"/>
          <w:sz w:val="24"/>
          <w:highlight w:val="none"/>
          <w14:textFill>
            <w14:solidFill>
              <w14:schemeClr w14:val="tx1"/>
            </w14:solidFill>
          </w14:textFill>
        </w:rPr>
      </w:pPr>
    </w:p>
    <w:p w14:paraId="6DA3D77B">
      <w:pPr>
        <w:spacing w:line="400" w:lineRule="atLeast"/>
        <w:ind w:firstLine="480"/>
        <w:rPr>
          <w:color w:val="000000" w:themeColor="text1"/>
          <w:sz w:val="24"/>
          <w:highlight w:val="none"/>
          <w14:textFill>
            <w14:solidFill>
              <w14:schemeClr w14:val="tx1"/>
            </w14:solidFill>
          </w14:textFill>
        </w:rPr>
      </w:pPr>
    </w:p>
    <w:p w14:paraId="426AB6FC">
      <w:pPr>
        <w:spacing w:line="400" w:lineRule="atLeast"/>
        <w:ind w:firstLine="480"/>
        <w:rPr>
          <w:color w:val="000000" w:themeColor="text1"/>
          <w:sz w:val="24"/>
          <w:highlight w:val="none"/>
          <w14:textFill>
            <w14:solidFill>
              <w14:schemeClr w14:val="tx1"/>
            </w14:solidFill>
          </w14:textFill>
        </w:rPr>
      </w:pPr>
    </w:p>
    <w:p w14:paraId="59886ABE">
      <w:pPr>
        <w:spacing w:line="400" w:lineRule="atLeast"/>
        <w:ind w:firstLine="480"/>
        <w:rPr>
          <w:color w:val="000000" w:themeColor="text1"/>
          <w:sz w:val="24"/>
          <w:highlight w:val="none"/>
          <w14:textFill>
            <w14:solidFill>
              <w14:schemeClr w14:val="tx1"/>
            </w14:solidFill>
          </w14:textFill>
        </w:rPr>
      </w:pPr>
    </w:p>
    <w:p w14:paraId="4E89EAE1">
      <w:pPr>
        <w:spacing w:line="400" w:lineRule="atLeast"/>
        <w:ind w:firstLine="480"/>
        <w:rPr>
          <w:color w:val="000000" w:themeColor="text1"/>
          <w:sz w:val="24"/>
          <w:highlight w:val="none"/>
          <w14:textFill>
            <w14:solidFill>
              <w14:schemeClr w14:val="tx1"/>
            </w14:solidFill>
          </w14:textFill>
        </w:rPr>
      </w:pPr>
    </w:p>
    <w:p w14:paraId="7CCE0298">
      <w:pPr>
        <w:spacing w:line="400" w:lineRule="atLeast"/>
        <w:ind w:firstLine="480"/>
        <w:rPr>
          <w:color w:val="000000" w:themeColor="text1"/>
          <w:sz w:val="24"/>
          <w:highlight w:val="none"/>
          <w14:textFill>
            <w14:solidFill>
              <w14:schemeClr w14:val="tx1"/>
            </w14:solidFill>
          </w14:textFill>
        </w:rPr>
      </w:pPr>
    </w:p>
    <w:p w14:paraId="4673F991">
      <w:pPr>
        <w:spacing w:line="400" w:lineRule="atLeast"/>
        <w:ind w:firstLine="480"/>
        <w:jc w:val="right"/>
        <w:rPr>
          <w:color w:val="000000" w:themeColor="text1"/>
          <w:sz w:val="24"/>
          <w:highlight w:val="none"/>
          <w14:textFill>
            <w14:solidFill>
              <w14:schemeClr w14:val="tx1"/>
            </w14:solidFill>
          </w14:textFill>
        </w:rPr>
      </w:pPr>
    </w:p>
    <w:p w14:paraId="4B6A4307">
      <w:pPr>
        <w:spacing w:line="400" w:lineRule="atLeast"/>
        <w:ind w:firstLine="480"/>
        <w:jc w:val="right"/>
        <w:rPr>
          <w:color w:val="000000" w:themeColor="text1"/>
          <w:sz w:val="24"/>
          <w:highlight w:val="none"/>
          <w14:textFill>
            <w14:solidFill>
              <w14:schemeClr w14:val="tx1"/>
            </w14:solidFill>
          </w14:textFill>
        </w:rPr>
      </w:pPr>
    </w:p>
    <w:p w14:paraId="3D92C56B">
      <w:pPr>
        <w:spacing w:line="400" w:lineRule="atLeast"/>
        <w:ind w:firstLine="480"/>
        <w:jc w:val="right"/>
        <w:rPr>
          <w:color w:val="000000" w:themeColor="text1"/>
          <w:sz w:val="24"/>
          <w:highlight w:val="none"/>
          <w14:textFill>
            <w14:solidFill>
              <w14:schemeClr w14:val="tx1"/>
            </w14:solidFill>
          </w14:textFill>
        </w:rPr>
      </w:pPr>
    </w:p>
    <w:p w14:paraId="59473279">
      <w:pPr>
        <w:spacing w:line="400" w:lineRule="atLeast"/>
        <w:ind w:firstLine="480"/>
        <w:jc w:val="right"/>
        <w:rPr>
          <w:color w:val="000000" w:themeColor="text1"/>
          <w:sz w:val="24"/>
          <w:highlight w:val="none"/>
          <w14:textFill>
            <w14:solidFill>
              <w14:schemeClr w14:val="tx1"/>
            </w14:solidFill>
          </w14:textFill>
        </w:rPr>
      </w:pPr>
    </w:p>
    <w:p w14:paraId="22D164DF">
      <w:pPr>
        <w:spacing w:line="400" w:lineRule="atLeast"/>
        <w:ind w:right="480"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供应商：（盖单位章）</w:t>
      </w:r>
    </w:p>
    <w:p w14:paraId="28E3A02C">
      <w:pPr>
        <w:spacing w:line="400" w:lineRule="atLeast"/>
        <w:ind w:firstLine="480"/>
        <w:jc w:val="center"/>
        <w:rPr>
          <w:color w:val="000000" w:themeColor="text1"/>
          <w:sz w:val="20"/>
          <w:szCs w:val="20"/>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EC82F13">
      <w:pPr>
        <w:pStyle w:val="18"/>
        <w:ind w:firstLine="420"/>
        <w:rPr>
          <w:color w:val="000000" w:themeColor="text1"/>
          <w:highlight w:val="none"/>
          <w14:textFill>
            <w14:solidFill>
              <w14:schemeClr w14:val="tx1"/>
            </w14:solidFill>
          </w14:textFill>
        </w:rPr>
      </w:pPr>
    </w:p>
    <w:p w14:paraId="5F9A0ACA">
      <w:pPr>
        <w:pStyle w:val="18"/>
        <w:ind w:firstLine="420"/>
        <w:rPr>
          <w:color w:val="000000" w:themeColor="text1"/>
          <w:highlight w:val="none"/>
          <w14:textFill>
            <w14:solidFill>
              <w14:schemeClr w14:val="tx1"/>
            </w14:solidFill>
          </w14:textFill>
        </w:rPr>
      </w:pPr>
    </w:p>
    <w:p w14:paraId="4F6907D1">
      <w:pPr>
        <w:widowControl/>
        <w:ind w:firstLine="422"/>
        <w:jc w:val="left"/>
        <w:rPr>
          <w:rFonts w:eastAsia="黑体"/>
          <w:color w:val="000000" w:themeColor="text1"/>
          <w:sz w:val="32"/>
          <w:szCs w:val="20"/>
          <w:highlight w:val="none"/>
          <w14:textFill>
            <w14:solidFill>
              <w14:schemeClr w14:val="tx1"/>
            </w14:solidFill>
          </w14:textFill>
        </w:rPr>
      </w:pPr>
      <w:r>
        <w:rPr>
          <w:b/>
          <w:color w:val="000000" w:themeColor="text1"/>
          <w:highlight w:val="none"/>
          <w14:textFill>
            <w14:solidFill>
              <w14:schemeClr w14:val="tx1"/>
            </w14:solidFill>
          </w14:textFill>
        </w:rPr>
        <w:br w:type="page"/>
      </w:r>
    </w:p>
    <w:p w14:paraId="6DBC2E18">
      <w:pPr>
        <w:pStyle w:val="3"/>
        <w:spacing w:before="0" w:after="0" w:line="240" w:lineRule="auto"/>
        <w:ind w:firstLine="0" w:firstLineChars="0"/>
        <w:jc w:val="center"/>
        <w:rPr>
          <w:rFonts w:ascii="Times New Roman" w:hAnsi="Times New Roman"/>
          <w:b w:val="0"/>
          <w:color w:val="000000" w:themeColor="text1"/>
          <w:highlight w:val="none"/>
          <w14:textFill>
            <w14:solidFill>
              <w14:schemeClr w14:val="tx1"/>
            </w14:solidFill>
          </w14:textFill>
        </w:rPr>
      </w:pPr>
      <w:bookmarkStart w:id="228" w:name="_Toc16932"/>
      <w:r>
        <w:rPr>
          <w:rFonts w:ascii="Times New Roman" w:hAnsi="Times New Roman"/>
          <w:b w:val="0"/>
          <w:color w:val="000000" w:themeColor="text1"/>
          <w:highlight w:val="none"/>
          <w14:textFill>
            <w14:solidFill>
              <w14:schemeClr w14:val="tx1"/>
            </w14:solidFill>
          </w14:textFill>
        </w:rPr>
        <w:t>三、法定代表人授权委托书</w:t>
      </w:r>
      <w:bookmarkEnd w:id="228"/>
    </w:p>
    <w:p w14:paraId="1887902D">
      <w:pPr>
        <w:spacing w:line="400" w:lineRule="atLeast"/>
        <w:ind w:firstLine="420"/>
        <w:rPr>
          <w:color w:val="000000" w:themeColor="text1"/>
          <w:szCs w:val="21"/>
          <w:highlight w:val="none"/>
          <w14:textFill>
            <w14:solidFill>
              <w14:schemeClr w14:val="tx1"/>
            </w14:solidFill>
          </w14:textFill>
        </w:rPr>
      </w:pPr>
    </w:p>
    <w:p w14:paraId="6C6BA144">
      <w:pPr>
        <w:topLinePunct/>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本人</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（姓名）系</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（供应商）的法定代表人，现委托</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（项目名称）响应文件、签订合同和处理有关事宜，其法律后果由我方承担。</w:t>
      </w:r>
    </w:p>
    <w:p w14:paraId="6E72B10B">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委托期限</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u w:val="single"/>
          <w14:textFill>
            <w14:solidFill>
              <w14:schemeClr w14:val="tx1"/>
            </w14:solidFill>
          </w14:textFill>
        </w:rPr>
        <w:t>同</w:t>
      </w:r>
      <w:r>
        <w:rPr>
          <w:rFonts w:hint="eastAsia"/>
          <w:color w:val="000000" w:themeColor="text1"/>
          <w:sz w:val="24"/>
          <w:highlight w:val="none"/>
          <w:u w:val="single"/>
          <w14:textFill>
            <w14:solidFill>
              <w14:schemeClr w14:val="tx1"/>
            </w14:solidFill>
          </w14:textFill>
        </w:rPr>
        <w:t>谈判</w:t>
      </w:r>
      <w:r>
        <w:rPr>
          <w:color w:val="000000" w:themeColor="text1"/>
          <w:sz w:val="24"/>
          <w:highlight w:val="none"/>
          <w:u w:val="single"/>
          <w14:textFill>
            <w14:solidFill>
              <w14:schemeClr w14:val="tx1"/>
            </w14:solidFill>
          </w14:textFill>
        </w:rPr>
        <w:t>有效期</w:t>
      </w:r>
      <w:r>
        <w:rPr>
          <w:color w:val="000000" w:themeColor="text1"/>
          <w:sz w:val="24"/>
          <w:highlight w:val="none"/>
          <w14:textFill>
            <w14:solidFill>
              <w14:schemeClr w14:val="tx1"/>
            </w14:solidFill>
          </w14:textFill>
        </w:rPr>
        <w:t>。</w:t>
      </w:r>
    </w:p>
    <w:p w14:paraId="2E620410">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代理人无转委托权。</w:t>
      </w:r>
    </w:p>
    <w:p w14:paraId="65FF8079">
      <w:pPr>
        <w:spacing w:line="400" w:lineRule="atLeast"/>
        <w:ind w:firstLine="42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81915</wp:posOffset>
                </wp:positionV>
                <wp:extent cx="5506720" cy="2807970"/>
                <wp:effectExtent l="4445" t="4445" r="13335" b="6985"/>
                <wp:wrapNone/>
                <wp:docPr id="7" name="Text Box 2"/>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4DBB61A6">
                            <w:pPr>
                              <w:pStyle w:val="43"/>
                              <w:snapToGrid w:val="0"/>
                              <w:spacing w:line="360" w:lineRule="auto"/>
                              <w:ind w:firstLine="480"/>
                              <w:rPr>
                                <w:bCs/>
                              </w:rPr>
                            </w:pPr>
                            <w:r>
                              <w:rPr>
                                <w:rFonts w:hint="eastAsia"/>
                                <w:bCs/>
                              </w:rPr>
                              <w:t>附代理人身份证复印件：</w:t>
                            </w:r>
                          </w:p>
                          <w:p w14:paraId="017A089A">
                            <w:pPr>
                              <w:ind w:firstLine="420"/>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1pt;margin-top:6.45pt;height:221.1pt;width:433.6pt;z-index:251662336;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H4EL2QAA&#10;AAkBAAAPAAAAAAAAAAEAIAAAACIAAABkcnMvZG93bnJldi54bWxQSwECFAAUAAAACACHTuJASeYw&#10;WB0CAABlBAAADgAAAAAAAAABACAAAAAoAQAAZHJzL2Uyb0RvYy54bWxQSwUGAAAAAAYABgBZAQAA&#10;twUAAAAA&#10;">
                <v:fill on="t" focussize="0,0"/>
                <v:stroke color="#000000" miterlimit="8" joinstyle="miter"/>
                <v:imagedata o:title=""/>
                <o:lock v:ext="edit" aspectratio="f"/>
                <v:textbox>
                  <w:txbxContent>
                    <w:p w14:paraId="4DBB61A6">
                      <w:pPr>
                        <w:pStyle w:val="43"/>
                        <w:snapToGrid w:val="0"/>
                        <w:spacing w:line="360" w:lineRule="auto"/>
                        <w:ind w:firstLine="480"/>
                        <w:rPr>
                          <w:bCs/>
                        </w:rPr>
                      </w:pPr>
                      <w:r>
                        <w:rPr>
                          <w:rFonts w:hint="eastAsia"/>
                          <w:bCs/>
                        </w:rPr>
                        <w:t>附代理人身份证复印件：</w:t>
                      </w:r>
                    </w:p>
                    <w:p w14:paraId="017A089A">
                      <w:pPr>
                        <w:ind w:firstLine="420"/>
                      </w:pPr>
                    </w:p>
                  </w:txbxContent>
                </v:textbox>
              </v:shape>
            </w:pict>
          </mc:Fallback>
        </mc:AlternateContent>
      </w:r>
    </w:p>
    <w:p w14:paraId="2270439B">
      <w:pPr>
        <w:spacing w:line="400" w:lineRule="atLeast"/>
        <w:ind w:firstLine="480"/>
        <w:rPr>
          <w:color w:val="000000" w:themeColor="text1"/>
          <w:sz w:val="24"/>
          <w:highlight w:val="none"/>
          <w14:textFill>
            <w14:solidFill>
              <w14:schemeClr w14:val="tx1"/>
            </w14:solidFill>
          </w14:textFill>
        </w:rPr>
      </w:pPr>
    </w:p>
    <w:p w14:paraId="7108C356">
      <w:pPr>
        <w:spacing w:line="400" w:lineRule="atLeast"/>
        <w:ind w:firstLine="480"/>
        <w:rPr>
          <w:color w:val="000000" w:themeColor="text1"/>
          <w:sz w:val="24"/>
          <w:highlight w:val="none"/>
          <w14:textFill>
            <w14:solidFill>
              <w14:schemeClr w14:val="tx1"/>
            </w14:solidFill>
          </w14:textFill>
        </w:rPr>
      </w:pPr>
    </w:p>
    <w:p w14:paraId="0B85580A">
      <w:pPr>
        <w:spacing w:line="400" w:lineRule="atLeast"/>
        <w:ind w:firstLine="480"/>
        <w:rPr>
          <w:color w:val="000000" w:themeColor="text1"/>
          <w:sz w:val="24"/>
          <w:highlight w:val="none"/>
          <w14:textFill>
            <w14:solidFill>
              <w14:schemeClr w14:val="tx1"/>
            </w14:solidFill>
          </w14:textFill>
        </w:rPr>
      </w:pPr>
    </w:p>
    <w:p w14:paraId="2AF2E836">
      <w:pPr>
        <w:spacing w:line="400" w:lineRule="atLeast"/>
        <w:ind w:firstLine="480"/>
        <w:rPr>
          <w:color w:val="000000" w:themeColor="text1"/>
          <w:sz w:val="24"/>
          <w:highlight w:val="none"/>
          <w14:textFill>
            <w14:solidFill>
              <w14:schemeClr w14:val="tx1"/>
            </w14:solidFill>
          </w14:textFill>
        </w:rPr>
      </w:pPr>
    </w:p>
    <w:p w14:paraId="53818016">
      <w:pPr>
        <w:spacing w:line="400" w:lineRule="atLeast"/>
        <w:ind w:firstLine="480"/>
        <w:rPr>
          <w:color w:val="000000" w:themeColor="text1"/>
          <w:sz w:val="24"/>
          <w:highlight w:val="none"/>
          <w14:textFill>
            <w14:solidFill>
              <w14:schemeClr w14:val="tx1"/>
            </w14:solidFill>
          </w14:textFill>
        </w:rPr>
      </w:pPr>
    </w:p>
    <w:p w14:paraId="694EF736">
      <w:pPr>
        <w:spacing w:line="400" w:lineRule="atLeast"/>
        <w:ind w:firstLine="480"/>
        <w:rPr>
          <w:color w:val="000000" w:themeColor="text1"/>
          <w:sz w:val="24"/>
          <w:highlight w:val="none"/>
          <w14:textFill>
            <w14:solidFill>
              <w14:schemeClr w14:val="tx1"/>
            </w14:solidFill>
          </w14:textFill>
        </w:rPr>
      </w:pPr>
    </w:p>
    <w:p w14:paraId="601D2302">
      <w:pPr>
        <w:spacing w:line="400" w:lineRule="atLeast"/>
        <w:ind w:firstLine="480"/>
        <w:rPr>
          <w:color w:val="000000" w:themeColor="text1"/>
          <w:sz w:val="24"/>
          <w:highlight w:val="none"/>
          <w14:textFill>
            <w14:solidFill>
              <w14:schemeClr w14:val="tx1"/>
            </w14:solidFill>
          </w14:textFill>
        </w:rPr>
      </w:pPr>
    </w:p>
    <w:p w14:paraId="251A7D1A">
      <w:pPr>
        <w:spacing w:line="400" w:lineRule="atLeast"/>
        <w:ind w:firstLine="480"/>
        <w:rPr>
          <w:color w:val="000000" w:themeColor="text1"/>
          <w:sz w:val="24"/>
          <w:highlight w:val="none"/>
          <w14:textFill>
            <w14:solidFill>
              <w14:schemeClr w14:val="tx1"/>
            </w14:solidFill>
          </w14:textFill>
        </w:rPr>
      </w:pPr>
    </w:p>
    <w:p w14:paraId="742F78B0">
      <w:pPr>
        <w:spacing w:line="400" w:lineRule="atLeast"/>
        <w:ind w:firstLine="480"/>
        <w:rPr>
          <w:color w:val="000000" w:themeColor="text1"/>
          <w:sz w:val="24"/>
          <w:highlight w:val="none"/>
          <w14:textFill>
            <w14:solidFill>
              <w14:schemeClr w14:val="tx1"/>
            </w14:solidFill>
          </w14:textFill>
        </w:rPr>
      </w:pPr>
    </w:p>
    <w:p w14:paraId="5C74DDB9">
      <w:pPr>
        <w:spacing w:line="400" w:lineRule="atLeast"/>
        <w:ind w:firstLine="480"/>
        <w:rPr>
          <w:color w:val="000000" w:themeColor="text1"/>
          <w:sz w:val="24"/>
          <w:highlight w:val="none"/>
          <w14:textFill>
            <w14:solidFill>
              <w14:schemeClr w14:val="tx1"/>
            </w14:solidFill>
          </w14:textFill>
        </w:rPr>
      </w:pPr>
    </w:p>
    <w:p w14:paraId="5ABEDFA1">
      <w:pPr>
        <w:spacing w:line="400" w:lineRule="atLeast"/>
        <w:ind w:firstLine="480"/>
        <w:rPr>
          <w:color w:val="000000" w:themeColor="text1"/>
          <w:sz w:val="24"/>
          <w:highlight w:val="none"/>
          <w14:textFill>
            <w14:solidFill>
              <w14:schemeClr w14:val="tx1"/>
            </w14:solidFill>
          </w14:textFill>
        </w:rPr>
      </w:pPr>
    </w:p>
    <w:p w14:paraId="1A56FE04">
      <w:pPr>
        <w:spacing w:line="400" w:lineRule="atLeast"/>
        <w:ind w:firstLine="4108" w:firstLineChars="1712"/>
        <w:jc w:val="left"/>
        <w:rPr>
          <w:color w:val="000000" w:themeColor="text1"/>
          <w:sz w:val="24"/>
          <w:highlight w:val="none"/>
          <w14:textFill>
            <w14:solidFill>
              <w14:schemeClr w14:val="tx1"/>
            </w14:solidFill>
          </w14:textFill>
        </w:rPr>
      </w:pPr>
    </w:p>
    <w:p w14:paraId="42D56CB5">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供应商：（盖单位章）</w:t>
      </w:r>
      <w:r>
        <w:rPr>
          <w:rFonts w:hint="eastAsia"/>
          <w:color w:val="000000" w:themeColor="text1"/>
          <w:sz w:val="24"/>
          <w:highlight w:val="none"/>
          <w:u w:val="single"/>
          <w14:textFill>
            <w14:solidFill>
              <w14:schemeClr w14:val="tx1"/>
            </w14:solidFill>
          </w14:textFill>
        </w:rPr>
        <w:t xml:space="preserve">      </w:t>
      </w:r>
    </w:p>
    <w:p w14:paraId="487FC073">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p>
    <w:p w14:paraId="2B88BF4D">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法定代表人：（签字）</w:t>
      </w:r>
      <w:r>
        <w:rPr>
          <w:rFonts w:hint="eastAsia"/>
          <w:color w:val="000000" w:themeColor="text1"/>
          <w:sz w:val="24"/>
          <w:highlight w:val="none"/>
          <w:u w:val="single"/>
          <w14:textFill>
            <w14:solidFill>
              <w14:schemeClr w14:val="tx1"/>
            </w14:solidFill>
          </w14:textFill>
        </w:rPr>
        <w:t xml:space="preserve">      </w:t>
      </w:r>
    </w:p>
    <w:p w14:paraId="0A2A0022">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p>
    <w:p w14:paraId="3FC7FC16">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身份证号码：</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p>
    <w:p w14:paraId="5AFE6BD6">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p>
    <w:p w14:paraId="2046EC56">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委托代理人：（签字）</w:t>
      </w:r>
      <w:r>
        <w:rPr>
          <w:rFonts w:hint="eastAsia"/>
          <w:color w:val="000000" w:themeColor="text1"/>
          <w:sz w:val="24"/>
          <w:highlight w:val="none"/>
          <w:u w:val="single"/>
          <w14:textFill>
            <w14:solidFill>
              <w14:schemeClr w14:val="tx1"/>
            </w14:solidFill>
          </w14:textFill>
        </w:rPr>
        <w:t xml:space="preserve">      </w:t>
      </w:r>
    </w:p>
    <w:p w14:paraId="43D88A1D">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color w:val="000000" w:themeColor="text1"/>
          <w:sz w:val="24"/>
          <w:highlight w:val="none"/>
          <w14:textFill>
            <w14:solidFill>
              <w14:schemeClr w14:val="tx1"/>
            </w14:solidFill>
          </w14:textFill>
        </w:rPr>
      </w:pPr>
    </w:p>
    <w:p w14:paraId="557C70C1">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rFonts w:hint="eastAsia"/>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身份证号码：</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p>
    <w:p w14:paraId="2F2BB89B">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rFonts w:hint="eastAsia"/>
          <w:color w:val="000000" w:themeColor="text1"/>
          <w:sz w:val="24"/>
          <w:highlight w:val="none"/>
          <w:u w:val="single"/>
          <w14:textFill>
            <w14:solidFill>
              <w14:schemeClr w14:val="tx1"/>
            </w14:solidFill>
          </w14:textFill>
        </w:rPr>
      </w:pPr>
    </w:p>
    <w:p w14:paraId="21310810">
      <w:pPr>
        <w:keepNext w:val="0"/>
        <w:keepLines w:val="0"/>
        <w:pageBreakBefore w:val="0"/>
        <w:widowControl w:val="0"/>
        <w:kinsoku/>
        <w:wordWrap/>
        <w:overflowPunct/>
        <w:topLinePunct w:val="0"/>
        <w:autoSpaceDE/>
        <w:autoSpaceDN/>
        <w:bidi w:val="0"/>
        <w:adjustRightInd/>
        <w:snapToGrid/>
        <w:spacing w:line="320" w:lineRule="exact"/>
        <w:ind w:firstLine="4108" w:firstLineChars="1712"/>
        <w:jc w:val="left"/>
        <w:textAlignment w:val="auto"/>
        <w:rPr>
          <w:rFonts w:hint="default" w:eastAsia="宋体"/>
          <w:color w:val="000000" w:themeColor="text1"/>
          <w:sz w:val="24"/>
          <w:highlight w:val="none"/>
          <w:u w:val="single"/>
          <w:lang w:val="en-US" w:eastAsia="zh-CN"/>
          <w14:textFill>
            <w14:solidFill>
              <w14:schemeClr w14:val="tx1"/>
            </w14:solidFill>
          </w14:textFill>
        </w:rPr>
      </w:pPr>
      <w:r>
        <w:rPr>
          <w:rFonts w:hint="eastAsia"/>
          <w:color w:val="000000" w:themeColor="text1"/>
          <w:sz w:val="24"/>
          <w:highlight w:val="none"/>
          <w:u w:val="none"/>
          <w:lang w:val="en-US" w:eastAsia="zh-CN"/>
          <w14:textFill>
            <w14:solidFill>
              <w14:schemeClr w14:val="tx1"/>
            </w14:solidFill>
          </w14:textFill>
        </w:rPr>
        <w:t>联系电话：</w:t>
      </w:r>
      <w:r>
        <w:rPr>
          <w:rFonts w:hint="eastAsia"/>
          <w:color w:val="000000" w:themeColor="text1"/>
          <w:sz w:val="24"/>
          <w:highlight w:val="none"/>
          <w:u w:val="single"/>
          <w:lang w:val="en-US" w:eastAsia="zh-CN"/>
          <w14:textFill>
            <w14:solidFill>
              <w14:schemeClr w14:val="tx1"/>
            </w14:solidFill>
          </w14:textFill>
        </w:rPr>
        <w:t xml:space="preserve">                </w:t>
      </w:r>
    </w:p>
    <w:p w14:paraId="50DBC4C6">
      <w:pPr>
        <w:spacing w:line="400" w:lineRule="atLeast"/>
        <w:ind w:firstLine="3595" w:firstLineChars="1712"/>
        <w:jc w:val="left"/>
        <w:rPr>
          <w:color w:val="000000" w:themeColor="text1"/>
          <w:szCs w:val="21"/>
          <w:highlight w:val="none"/>
          <w14:textFill>
            <w14:solidFill>
              <w14:schemeClr w14:val="tx1"/>
            </w14:solidFill>
          </w14:textFill>
        </w:rPr>
      </w:pPr>
    </w:p>
    <w:p w14:paraId="6E2BA2E0">
      <w:pPr>
        <w:spacing w:line="400" w:lineRule="atLeast"/>
        <w:ind w:firstLine="4468" w:firstLineChars="186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日</w:t>
      </w:r>
    </w:p>
    <w:bookmarkEnd w:id="221"/>
    <w:bookmarkEnd w:id="222"/>
    <w:bookmarkEnd w:id="223"/>
    <w:bookmarkEnd w:id="224"/>
    <w:bookmarkEnd w:id="225"/>
    <w:bookmarkEnd w:id="226"/>
    <w:p w14:paraId="68AC1C91">
      <w:pPr>
        <w:ind w:firstLine="420"/>
        <w:rPr>
          <w:color w:val="000000" w:themeColor="text1"/>
          <w:highlight w:val="none"/>
          <w14:textFill>
            <w14:solidFill>
              <w14:schemeClr w14:val="tx1"/>
            </w14:solidFill>
          </w14:textFill>
        </w:rPr>
      </w:pPr>
      <w:bookmarkStart w:id="229" w:name="_Toc443200896"/>
      <w:bookmarkStart w:id="230" w:name="_Toc144974863"/>
      <w:bookmarkStart w:id="231" w:name="_Toc152045795"/>
      <w:bookmarkStart w:id="232" w:name="_Toc247514287"/>
      <w:bookmarkStart w:id="233" w:name="_Toc152042584"/>
      <w:bookmarkStart w:id="234" w:name="_Toc247527835"/>
      <w:r>
        <w:rPr>
          <w:color w:val="000000" w:themeColor="text1"/>
          <w:highlight w:val="none"/>
          <w14:textFill>
            <w14:solidFill>
              <w14:schemeClr w14:val="tx1"/>
            </w14:solidFill>
          </w14:textFill>
        </w:rPr>
        <w:br w:type="page"/>
      </w:r>
    </w:p>
    <w:p w14:paraId="6BC7A5EA">
      <w:pPr>
        <w:pStyle w:val="3"/>
        <w:spacing w:before="0" w:after="0" w:line="240" w:lineRule="auto"/>
        <w:ind w:firstLine="0" w:firstLineChars="0"/>
        <w:jc w:val="center"/>
        <w:rPr>
          <w:rFonts w:ascii="Times New Roman" w:hAnsi="Times New Roman"/>
          <w:bCs/>
          <w:color w:val="000000" w:themeColor="text1"/>
          <w:highlight w:val="none"/>
          <w14:textFill>
            <w14:solidFill>
              <w14:schemeClr w14:val="tx1"/>
            </w14:solidFill>
          </w14:textFill>
        </w:rPr>
      </w:pPr>
      <w:bookmarkStart w:id="235" w:name="_Toc25677"/>
      <w:r>
        <w:rPr>
          <w:rFonts w:ascii="Times New Roman" w:hAnsi="Times New Roman"/>
          <w:b w:val="0"/>
          <w:color w:val="000000" w:themeColor="text1"/>
          <w:highlight w:val="none"/>
          <w14:textFill>
            <w14:solidFill>
              <w14:schemeClr w14:val="tx1"/>
            </w14:solidFill>
          </w14:textFill>
        </w:rPr>
        <w:t>四</w:t>
      </w:r>
      <w:r>
        <w:rPr>
          <w:rFonts w:ascii="Times New Roman" w:hAnsi="Times New Roman"/>
          <w:color w:val="000000" w:themeColor="text1"/>
          <w:highlight w:val="none"/>
          <w14:textFill>
            <w14:solidFill>
              <w14:schemeClr w14:val="tx1"/>
            </w14:solidFill>
          </w14:textFill>
        </w:rPr>
        <w:t>、</w:t>
      </w:r>
      <w:r>
        <w:rPr>
          <w:rFonts w:ascii="Times New Roman" w:hAnsi="Times New Roman"/>
          <w:b w:val="0"/>
          <w:color w:val="000000" w:themeColor="text1"/>
          <w:highlight w:val="none"/>
          <w14:textFill>
            <w14:solidFill>
              <w14:schemeClr w14:val="tx1"/>
            </w14:solidFill>
          </w14:textFill>
        </w:rPr>
        <w:t>供应商承诺书</w:t>
      </w:r>
      <w:bookmarkEnd w:id="235"/>
    </w:p>
    <w:p w14:paraId="267A6A1B">
      <w:pPr>
        <w:spacing w:line="400" w:lineRule="atLeast"/>
        <w:ind w:firstLine="0"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w:t>
      </w:r>
      <w:r>
        <w:rPr>
          <w:color w:val="000000" w:themeColor="text1"/>
          <w:sz w:val="24"/>
          <w:highlight w:val="none"/>
          <w:u w:val="single"/>
          <w14:textFill>
            <w14:solidFill>
              <w14:schemeClr w14:val="tx1"/>
            </w14:solidFill>
          </w14:textFill>
        </w:rPr>
        <w:t>（采购人名称）</w:t>
      </w:r>
    </w:p>
    <w:p w14:paraId="120706A6">
      <w:pPr>
        <w:adjustRightInd w:val="0"/>
        <w:snapToGrid w:val="0"/>
        <w:ind w:firstLine="480"/>
        <w:rPr>
          <w:rFonts w:ascii="宋体" w:hAnsi="宋体"/>
          <w:sz w:val="24"/>
          <w:highlight w:val="none"/>
        </w:rPr>
      </w:pPr>
      <w:r>
        <w:rPr>
          <w:rFonts w:ascii="宋体" w:hAnsi="宋体"/>
          <w:sz w:val="24"/>
          <w:highlight w:val="none"/>
        </w:rPr>
        <w:t>本人</w:t>
      </w:r>
      <w:r>
        <w:rPr>
          <w:rFonts w:ascii="宋体" w:hAnsi="宋体"/>
          <w:sz w:val="24"/>
          <w:highlight w:val="none"/>
          <w:u w:val="single"/>
        </w:rPr>
        <w:t xml:space="preserve">         </w:t>
      </w:r>
      <w:r>
        <w:rPr>
          <w:rFonts w:ascii="宋体" w:hAnsi="宋体"/>
          <w:sz w:val="24"/>
          <w:highlight w:val="none"/>
        </w:rPr>
        <w:t>（姓名）以</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（单位名称）法定代表人的资格，郑重承诺：</w:t>
      </w:r>
    </w:p>
    <w:p w14:paraId="0CFF364B">
      <w:pPr>
        <w:spacing w:line="440" w:lineRule="exact"/>
        <w:ind w:firstLine="480"/>
        <w:jc w:val="left"/>
        <w:rPr>
          <w:kern w:val="0"/>
          <w:sz w:val="24"/>
          <w:highlight w:val="none"/>
        </w:rPr>
      </w:pPr>
      <w:r>
        <w:rPr>
          <w:rFonts w:hint="eastAsia"/>
          <w:kern w:val="0"/>
          <w:sz w:val="24"/>
          <w:highlight w:val="none"/>
        </w:rPr>
        <w:t>1.我单位</w:t>
      </w:r>
      <w:r>
        <w:rPr>
          <w:kern w:val="0"/>
          <w:sz w:val="24"/>
          <w:highlight w:val="none"/>
        </w:rPr>
        <w:t>未处于被责令停业、财产被接管、冻结和破产状态，以及未被取消或者暂停（在暂停期内）投标资格；</w:t>
      </w:r>
    </w:p>
    <w:p w14:paraId="1F865CA6">
      <w:pPr>
        <w:spacing w:line="440" w:lineRule="exact"/>
        <w:ind w:firstLine="480"/>
        <w:jc w:val="left"/>
        <w:rPr>
          <w:sz w:val="24"/>
          <w:highlight w:val="none"/>
        </w:rPr>
      </w:pPr>
      <w:r>
        <w:rPr>
          <w:rFonts w:hint="eastAsia"/>
          <w:kern w:val="0"/>
          <w:sz w:val="24"/>
          <w:highlight w:val="none"/>
        </w:rPr>
        <w:t>2.我单位</w:t>
      </w:r>
      <w:r>
        <w:rPr>
          <w:kern w:val="0"/>
          <w:sz w:val="24"/>
          <w:highlight w:val="none"/>
        </w:rPr>
        <w:t>未被有关部门限制在采购项目所在地承接项目的；</w:t>
      </w:r>
    </w:p>
    <w:p w14:paraId="1C59D00D">
      <w:pPr>
        <w:adjustRightInd w:val="0"/>
        <w:snapToGrid w:val="0"/>
        <w:ind w:firstLine="480"/>
        <w:rPr>
          <w:kern w:val="0"/>
          <w:sz w:val="24"/>
          <w:highlight w:val="none"/>
        </w:rPr>
      </w:pPr>
      <w:r>
        <w:rPr>
          <w:rFonts w:hint="eastAsia"/>
          <w:kern w:val="0"/>
          <w:sz w:val="24"/>
          <w:highlight w:val="none"/>
        </w:rPr>
        <w:t>3.我单位</w:t>
      </w:r>
      <w:r>
        <w:rPr>
          <w:kern w:val="0"/>
          <w:sz w:val="24"/>
          <w:highlight w:val="none"/>
        </w:rPr>
        <w:t>未被列为失信被执行人。</w:t>
      </w:r>
    </w:p>
    <w:p w14:paraId="071CFA63">
      <w:pPr>
        <w:adjustRightInd w:val="0"/>
        <w:snapToGrid w:val="0"/>
        <w:ind w:firstLine="480"/>
        <w:rPr>
          <w:kern w:val="0"/>
          <w:sz w:val="24"/>
          <w:highlight w:val="none"/>
        </w:rPr>
      </w:pPr>
      <w:r>
        <w:rPr>
          <w:rFonts w:hint="eastAsia"/>
          <w:kern w:val="0"/>
          <w:sz w:val="24"/>
          <w:highlight w:val="none"/>
        </w:rPr>
        <w:t>4.我方资质动态监管核查结果为合格，若谈判有效期内企业资质核查不合格，接受采购人取消我公司谈判、成交资格；</w:t>
      </w:r>
    </w:p>
    <w:p w14:paraId="40E5AFCC">
      <w:pPr>
        <w:adjustRightInd w:val="0"/>
        <w:snapToGrid w:val="0"/>
        <w:ind w:firstLine="480"/>
        <w:rPr>
          <w:rFonts w:ascii="宋体" w:hAnsi="宋体"/>
          <w:sz w:val="24"/>
          <w:highlight w:val="none"/>
        </w:rPr>
      </w:pPr>
      <w:r>
        <w:rPr>
          <w:rFonts w:hint="eastAsia" w:ascii="宋体" w:hAnsi="宋体"/>
          <w:sz w:val="24"/>
          <w:highlight w:val="none"/>
        </w:rPr>
        <w:t>我单位在本次谈判活动全过程出示的文件资料均是真实、有效的，如有虚假，愿意无条件接受被取消成交或成交（候选人）资格、谈判保证金不予退还、合同无效且按发包人要求清除出场，一切损失由我单位自行承担，同时愿意接受相关处罚。</w:t>
      </w:r>
    </w:p>
    <w:p w14:paraId="2419A795">
      <w:pPr>
        <w:adjustRightInd w:val="0"/>
        <w:snapToGrid w:val="0"/>
        <w:ind w:firstLine="480"/>
        <w:rPr>
          <w:rFonts w:ascii="宋体" w:hAnsi="宋体"/>
          <w:bCs/>
          <w:sz w:val="24"/>
          <w:highlight w:val="none"/>
        </w:rPr>
      </w:pPr>
      <w:r>
        <w:rPr>
          <w:rFonts w:hint="eastAsia" w:ascii="宋体" w:hAnsi="宋体"/>
          <w:sz w:val="24"/>
          <w:highlight w:val="none"/>
        </w:rPr>
        <w:t>特此承诺！</w:t>
      </w:r>
    </w:p>
    <w:p w14:paraId="05AA345A">
      <w:pPr>
        <w:spacing w:line="400" w:lineRule="atLeast"/>
        <w:ind w:firstLine="480"/>
        <w:rPr>
          <w:color w:val="000000" w:themeColor="text1"/>
          <w:sz w:val="24"/>
          <w:highlight w:val="none"/>
          <w14:textFill>
            <w14:solidFill>
              <w14:schemeClr w14:val="tx1"/>
            </w14:solidFill>
          </w14:textFill>
        </w:rPr>
      </w:pPr>
    </w:p>
    <w:p w14:paraId="6C12C677">
      <w:pPr>
        <w:spacing w:line="400" w:lineRule="atLeast"/>
        <w:ind w:firstLine="4108" w:firstLineChars="171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供应商：（加盖公章）</w:t>
      </w:r>
    </w:p>
    <w:p w14:paraId="48426B8C">
      <w:pPr>
        <w:spacing w:line="400" w:lineRule="atLeast"/>
        <w:ind w:firstLine="4108" w:firstLineChars="1712"/>
        <w:rPr>
          <w:color w:val="000000" w:themeColor="text1"/>
          <w:sz w:val="24"/>
          <w:highlight w:val="none"/>
          <w14:textFill>
            <w14:solidFill>
              <w14:schemeClr w14:val="tx1"/>
            </w14:solidFill>
          </w14:textFill>
        </w:rPr>
      </w:pPr>
    </w:p>
    <w:p w14:paraId="1146947A">
      <w:pPr>
        <w:spacing w:line="400" w:lineRule="atLeast"/>
        <w:ind w:firstLine="4108" w:firstLineChars="171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法定代表人：（签字或盖章）</w:t>
      </w:r>
    </w:p>
    <w:p w14:paraId="5B6B709A">
      <w:pPr>
        <w:spacing w:line="400" w:lineRule="atLeast"/>
        <w:ind w:firstLine="4108" w:firstLineChars="1712"/>
        <w:rPr>
          <w:color w:val="000000" w:themeColor="text1"/>
          <w:sz w:val="24"/>
          <w:highlight w:val="none"/>
          <w14:textFill>
            <w14:solidFill>
              <w14:schemeClr w14:val="tx1"/>
            </w14:solidFill>
          </w14:textFill>
        </w:rPr>
      </w:pPr>
    </w:p>
    <w:p w14:paraId="2FA9004E">
      <w:pPr>
        <w:spacing w:line="400" w:lineRule="atLeast"/>
        <w:ind w:firstLine="4108" w:firstLineChars="171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授权委托人：（签字）</w:t>
      </w:r>
    </w:p>
    <w:p w14:paraId="044CE0C6">
      <w:pPr>
        <w:spacing w:line="400" w:lineRule="atLeast"/>
        <w:ind w:firstLine="4108" w:firstLineChars="1712"/>
        <w:rPr>
          <w:color w:val="000000" w:themeColor="text1"/>
          <w:sz w:val="24"/>
          <w:highlight w:val="none"/>
          <w14:textFill>
            <w14:solidFill>
              <w14:schemeClr w14:val="tx1"/>
            </w14:solidFill>
          </w14:textFill>
        </w:rPr>
      </w:pPr>
    </w:p>
    <w:p w14:paraId="669DFD1C">
      <w:pPr>
        <w:spacing w:line="400" w:lineRule="atLeast"/>
        <w:ind w:firstLine="4108" w:firstLineChars="1712"/>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D5E796E">
      <w:pPr>
        <w:pStyle w:val="3"/>
        <w:spacing w:line="415" w:lineRule="auto"/>
        <w:ind w:firstLine="0" w:firstLineChars="0"/>
        <w:jc w:val="center"/>
        <w:rPr>
          <w:rFonts w:ascii="Times New Roman" w:hAnsi="Times New Roman"/>
          <w:color w:val="000000" w:themeColor="text1"/>
          <w:sz w:val="24"/>
          <w:highlight w:val="none"/>
          <w14:textFill>
            <w14:solidFill>
              <w14:schemeClr w14:val="tx1"/>
            </w14:solidFill>
          </w14:textFill>
        </w:rPr>
      </w:pPr>
    </w:p>
    <w:p w14:paraId="10A21B52">
      <w:pPr>
        <w:pStyle w:val="3"/>
        <w:spacing w:line="415" w:lineRule="auto"/>
        <w:ind w:firstLine="0" w:firstLineChars="0"/>
        <w:jc w:val="center"/>
        <w:rPr>
          <w:rFonts w:ascii="Times New Roman" w:hAnsi="Times New Roman"/>
          <w:color w:val="000000" w:themeColor="text1"/>
          <w:sz w:val="24"/>
          <w:highlight w:val="none"/>
          <w14:textFill>
            <w14:solidFill>
              <w14:schemeClr w14:val="tx1"/>
            </w14:solidFill>
          </w14:textFill>
        </w:rPr>
      </w:pPr>
    </w:p>
    <w:p w14:paraId="04C922A1">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16DD931">
      <w:pPr>
        <w:pStyle w:val="3"/>
        <w:spacing w:before="0" w:after="0" w:line="240" w:lineRule="auto"/>
        <w:ind w:firstLine="0" w:firstLineChars="0"/>
        <w:jc w:val="center"/>
        <w:rPr>
          <w:rFonts w:ascii="Times New Roman" w:hAnsi="Times New Roman"/>
          <w:b w:val="0"/>
          <w:color w:val="000000" w:themeColor="text1"/>
          <w:highlight w:val="none"/>
          <w14:textFill>
            <w14:solidFill>
              <w14:schemeClr w14:val="tx1"/>
            </w14:solidFill>
          </w14:textFill>
        </w:rPr>
      </w:pPr>
    </w:p>
    <w:bookmarkEnd w:id="229"/>
    <w:bookmarkEnd w:id="230"/>
    <w:bookmarkEnd w:id="231"/>
    <w:bookmarkEnd w:id="232"/>
    <w:bookmarkEnd w:id="233"/>
    <w:bookmarkEnd w:id="234"/>
    <w:p w14:paraId="04CDBF91">
      <w:pPr>
        <w:pStyle w:val="3"/>
        <w:spacing w:before="0" w:after="0" w:line="415" w:lineRule="auto"/>
        <w:ind w:firstLine="0" w:firstLineChars="0"/>
        <w:jc w:val="center"/>
        <w:rPr>
          <w:b w:val="0"/>
          <w:bCs/>
          <w:color w:val="000000" w:themeColor="text1"/>
          <w:szCs w:val="32"/>
          <w:highlight w:val="none"/>
          <w14:textFill>
            <w14:solidFill>
              <w14:schemeClr w14:val="tx1"/>
            </w14:solidFill>
          </w14:textFill>
        </w:rPr>
      </w:pPr>
      <w:bookmarkStart w:id="236" w:name="_Toc10869"/>
      <w:bookmarkStart w:id="237" w:name="_Toc247514288"/>
      <w:bookmarkStart w:id="238" w:name="_Toc152042585"/>
      <w:bookmarkStart w:id="239" w:name="_Toc443200899"/>
      <w:bookmarkStart w:id="240" w:name="_Toc144974864"/>
      <w:bookmarkStart w:id="241" w:name="_Toc247527836"/>
      <w:bookmarkStart w:id="242" w:name="_Toc152045796"/>
      <w:r>
        <w:rPr>
          <w:rFonts w:hint="eastAsia" w:ascii="Times New Roman" w:hAnsi="Times New Roman"/>
          <w:b w:val="0"/>
          <w:bCs/>
          <w:color w:val="000000" w:themeColor="text1"/>
          <w:szCs w:val="32"/>
          <w:highlight w:val="none"/>
          <w14:textFill>
            <w14:solidFill>
              <w14:schemeClr w14:val="tx1"/>
            </w14:solidFill>
          </w14:textFill>
        </w:rPr>
        <w:t>五</w:t>
      </w:r>
      <w:r>
        <w:rPr>
          <w:rFonts w:ascii="Times New Roman" w:hAnsi="Times New Roman"/>
          <w:b w:val="0"/>
          <w:bCs/>
          <w:color w:val="000000" w:themeColor="text1"/>
          <w:szCs w:val="32"/>
          <w:highlight w:val="none"/>
          <w14:textFill>
            <w14:solidFill>
              <w14:schemeClr w14:val="tx1"/>
            </w14:solidFill>
          </w14:textFill>
        </w:rPr>
        <w:t>、</w:t>
      </w:r>
      <w:r>
        <w:rPr>
          <w:b w:val="0"/>
          <w:bCs/>
          <w:color w:val="000000" w:themeColor="text1"/>
          <w:szCs w:val="32"/>
          <w:highlight w:val="none"/>
          <w14:textFill>
            <w14:solidFill>
              <w14:schemeClr w14:val="tx1"/>
            </w14:solidFill>
          </w14:textFill>
        </w:rPr>
        <w:t>供应商基本情况表</w:t>
      </w:r>
      <w:bookmarkEnd w:id="236"/>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28E4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425FDBB">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tc>
        <w:tc>
          <w:tcPr>
            <w:tcW w:w="7445" w:type="dxa"/>
            <w:gridSpan w:val="7"/>
            <w:vAlign w:val="center"/>
          </w:tcPr>
          <w:p w14:paraId="5DF545C3">
            <w:pPr>
              <w:spacing w:line="400" w:lineRule="atLeast"/>
              <w:ind w:firstLine="0" w:firstLineChars="0"/>
              <w:jc w:val="center"/>
              <w:rPr>
                <w:color w:val="000000" w:themeColor="text1"/>
                <w:sz w:val="24"/>
                <w:highlight w:val="none"/>
                <w14:textFill>
                  <w14:solidFill>
                    <w14:schemeClr w14:val="tx1"/>
                  </w14:solidFill>
                </w14:textFill>
              </w:rPr>
            </w:pPr>
          </w:p>
        </w:tc>
      </w:tr>
      <w:tr w14:paraId="54C5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6978CD6">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注册地址</w:t>
            </w:r>
          </w:p>
        </w:tc>
        <w:tc>
          <w:tcPr>
            <w:tcW w:w="3443" w:type="dxa"/>
            <w:gridSpan w:val="4"/>
            <w:vAlign w:val="center"/>
          </w:tcPr>
          <w:p w14:paraId="6B562DDC">
            <w:pPr>
              <w:spacing w:line="400" w:lineRule="atLeast"/>
              <w:ind w:firstLine="0" w:firstLineChars="0"/>
              <w:jc w:val="center"/>
              <w:rPr>
                <w:color w:val="000000" w:themeColor="text1"/>
                <w:sz w:val="24"/>
                <w:highlight w:val="none"/>
                <w14:textFill>
                  <w14:solidFill>
                    <w14:schemeClr w14:val="tx1"/>
                  </w14:solidFill>
                </w14:textFill>
              </w:rPr>
            </w:pPr>
          </w:p>
        </w:tc>
        <w:tc>
          <w:tcPr>
            <w:tcW w:w="1413" w:type="dxa"/>
            <w:vAlign w:val="center"/>
          </w:tcPr>
          <w:p w14:paraId="514FC508">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邮政编码</w:t>
            </w:r>
          </w:p>
        </w:tc>
        <w:tc>
          <w:tcPr>
            <w:tcW w:w="2589" w:type="dxa"/>
            <w:gridSpan w:val="2"/>
            <w:vAlign w:val="center"/>
          </w:tcPr>
          <w:p w14:paraId="3B5F2267">
            <w:pPr>
              <w:spacing w:line="400" w:lineRule="atLeast"/>
              <w:ind w:firstLine="0" w:firstLineChars="0"/>
              <w:jc w:val="center"/>
              <w:rPr>
                <w:color w:val="000000" w:themeColor="text1"/>
                <w:sz w:val="24"/>
                <w:highlight w:val="none"/>
                <w14:textFill>
                  <w14:solidFill>
                    <w14:schemeClr w14:val="tx1"/>
                  </w14:solidFill>
                </w14:textFill>
              </w:rPr>
            </w:pPr>
          </w:p>
        </w:tc>
      </w:tr>
      <w:tr w14:paraId="7E4D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0925BB85">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p>
        </w:tc>
        <w:tc>
          <w:tcPr>
            <w:tcW w:w="1093" w:type="dxa"/>
            <w:vAlign w:val="center"/>
          </w:tcPr>
          <w:p w14:paraId="0076E69B">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联系人</w:t>
            </w:r>
          </w:p>
        </w:tc>
        <w:tc>
          <w:tcPr>
            <w:tcW w:w="2350" w:type="dxa"/>
            <w:gridSpan w:val="3"/>
            <w:vAlign w:val="center"/>
          </w:tcPr>
          <w:p w14:paraId="7CA47EC3">
            <w:pPr>
              <w:spacing w:line="400" w:lineRule="atLeast"/>
              <w:ind w:firstLine="0" w:firstLineChars="0"/>
              <w:jc w:val="center"/>
              <w:rPr>
                <w:color w:val="000000" w:themeColor="text1"/>
                <w:sz w:val="24"/>
                <w:highlight w:val="none"/>
                <w14:textFill>
                  <w14:solidFill>
                    <w14:schemeClr w14:val="tx1"/>
                  </w14:solidFill>
                </w14:textFill>
              </w:rPr>
            </w:pPr>
          </w:p>
        </w:tc>
        <w:tc>
          <w:tcPr>
            <w:tcW w:w="1413" w:type="dxa"/>
            <w:vAlign w:val="center"/>
          </w:tcPr>
          <w:p w14:paraId="2990C2D3">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电话</w:t>
            </w:r>
          </w:p>
        </w:tc>
        <w:tc>
          <w:tcPr>
            <w:tcW w:w="2589" w:type="dxa"/>
            <w:gridSpan w:val="2"/>
            <w:vAlign w:val="center"/>
          </w:tcPr>
          <w:p w14:paraId="7218A0BC">
            <w:pPr>
              <w:spacing w:line="400" w:lineRule="atLeast"/>
              <w:ind w:firstLine="0" w:firstLineChars="0"/>
              <w:jc w:val="center"/>
              <w:rPr>
                <w:color w:val="000000" w:themeColor="text1"/>
                <w:sz w:val="24"/>
                <w:highlight w:val="none"/>
                <w14:textFill>
                  <w14:solidFill>
                    <w14:schemeClr w14:val="tx1"/>
                  </w14:solidFill>
                </w14:textFill>
              </w:rPr>
            </w:pPr>
          </w:p>
        </w:tc>
      </w:tr>
      <w:tr w14:paraId="3AE5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07C66C18">
            <w:pPr>
              <w:spacing w:line="400" w:lineRule="atLeast"/>
              <w:ind w:firstLine="0" w:firstLineChars="0"/>
              <w:jc w:val="center"/>
              <w:rPr>
                <w:color w:val="000000" w:themeColor="text1"/>
                <w:sz w:val="24"/>
                <w:highlight w:val="none"/>
                <w14:textFill>
                  <w14:solidFill>
                    <w14:schemeClr w14:val="tx1"/>
                  </w14:solidFill>
                </w14:textFill>
              </w:rPr>
            </w:pPr>
          </w:p>
        </w:tc>
        <w:tc>
          <w:tcPr>
            <w:tcW w:w="1093" w:type="dxa"/>
            <w:vAlign w:val="center"/>
          </w:tcPr>
          <w:p w14:paraId="2F0248C3">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传真</w:t>
            </w:r>
          </w:p>
        </w:tc>
        <w:tc>
          <w:tcPr>
            <w:tcW w:w="2350" w:type="dxa"/>
            <w:gridSpan w:val="3"/>
            <w:vAlign w:val="center"/>
          </w:tcPr>
          <w:p w14:paraId="1CD51EFA">
            <w:pPr>
              <w:spacing w:line="400" w:lineRule="atLeast"/>
              <w:ind w:firstLine="0" w:firstLineChars="0"/>
              <w:jc w:val="center"/>
              <w:rPr>
                <w:color w:val="000000" w:themeColor="text1"/>
                <w:sz w:val="24"/>
                <w:highlight w:val="none"/>
                <w14:textFill>
                  <w14:solidFill>
                    <w14:schemeClr w14:val="tx1"/>
                  </w14:solidFill>
                </w14:textFill>
              </w:rPr>
            </w:pPr>
          </w:p>
        </w:tc>
        <w:tc>
          <w:tcPr>
            <w:tcW w:w="1413" w:type="dxa"/>
            <w:vAlign w:val="center"/>
          </w:tcPr>
          <w:p w14:paraId="4A2EF27B">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网址</w:t>
            </w:r>
          </w:p>
        </w:tc>
        <w:tc>
          <w:tcPr>
            <w:tcW w:w="2589" w:type="dxa"/>
            <w:gridSpan w:val="2"/>
            <w:vAlign w:val="center"/>
          </w:tcPr>
          <w:p w14:paraId="79B49AB4">
            <w:pPr>
              <w:spacing w:line="400" w:lineRule="atLeast"/>
              <w:ind w:firstLine="0" w:firstLineChars="0"/>
              <w:jc w:val="center"/>
              <w:rPr>
                <w:color w:val="000000" w:themeColor="text1"/>
                <w:sz w:val="24"/>
                <w:highlight w:val="none"/>
                <w14:textFill>
                  <w14:solidFill>
                    <w14:schemeClr w14:val="tx1"/>
                  </w14:solidFill>
                </w14:textFill>
              </w:rPr>
            </w:pPr>
          </w:p>
        </w:tc>
      </w:tr>
      <w:tr w14:paraId="34A6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2F66F19">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企业统一社会信用代码</w:t>
            </w:r>
          </w:p>
        </w:tc>
        <w:tc>
          <w:tcPr>
            <w:tcW w:w="7445" w:type="dxa"/>
            <w:gridSpan w:val="7"/>
            <w:vAlign w:val="center"/>
          </w:tcPr>
          <w:p w14:paraId="2BD36E2D">
            <w:pPr>
              <w:spacing w:line="400" w:lineRule="atLeast"/>
              <w:ind w:firstLine="0" w:firstLineChars="0"/>
              <w:jc w:val="center"/>
              <w:rPr>
                <w:color w:val="000000" w:themeColor="text1"/>
                <w:sz w:val="24"/>
                <w:highlight w:val="none"/>
                <w14:textFill>
                  <w14:solidFill>
                    <w14:schemeClr w14:val="tx1"/>
                  </w14:solidFill>
                </w14:textFill>
              </w:rPr>
            </w:pPr>
          </w:p>
        </w:tc>
      </w:tr>
      <w:tr w14:paraId="5214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EDB90F8">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法定代表人</w:t>
            </w:r>
          </w:p>
        </w:tc>
        <w:tc>
          <w:tcPr>
            <w:tcW w:w="1751" w:type="dxa"/>
            <w:gridSpan w:val="2"/>
            <w:vAlign w:val="center"/>
          </w:tcPr>
          <w:p w14:paraId="5E5C3C3C">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Align w:val="center"/>
          </w:tcPr>
          <w:p w14:paraId="49BBA010">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技术职称</w:t>
            </w:r>
          </w:p>
        </w:tc>
        <w:tc>
          <w:tcPr>
            <w:tcW w:w="1759" w:type="dxa"/>
            <w:gridSpan w:val="2"/>
            <w:vAlign w:val="center"/>
          </w:tcPr>
          <w:p w14:paraId="1653D3D2">
            <w:pPr>
              <w:spacing w:line="400" w:lineRule="atLeast"/>
              <w:ind w:firstLine="0" w:firstLineChars="0"/>
              <w:jc w:val="center"/>
              <w:rPr>
                <w:color w:val="000000" w:themeColor="text1"/>
                <w:sz w:val="24"/>
                <w:highlight w:val="none"/>
                <w14:textFill>
                  <w14:solidFill>
                    <w14:schemeClr w14:val="tx1"/>
                  </w14:solidFill>
                </w14:textFill>
              </w:rPr>
            </w:pPr>
          </w:p>
        </w:tc>
        <w:tc>
          <w:tcPr>
            <w:tcW w:w="765" w:type="dxa"/>
            <w:vAlign w:val="center"/>
          </w:tcPr>
          <w:p w14:paraId="33A1839E">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电话</w:t>
            </w:r>
          </w:p>
        </w:tc>
        <w:tc>
          <w:tcPr>
            <w:tcW w:w="1824" w:type="dxa"/>
            <w:vAlign w:val="center"/>
          </w:tcPr>
          <w:p w14:paraId="11A8D0C9">
            <w:pPr>
              <w:spacing w:line="400" w:lineRule="atLeast"/>
              <w:ind w:firstLine="0" w:firstLineChars="0"/>
              <w:jc w:val="center"/>
              <w:rPr>
                <w:color w:val="000000" w:themeColor="text1"/>
                <w:sz w:val="24"/>
                <w:highlight w:val="none"/>
                <w14:textFill>
                  <w14:solidFill>
                    <w14:schemeClr w14:val="tx1"/>
                  </w14:solidFill>
                </w14:textFill>
              </w:rPr>
            </w:pPr>
          </w:p>
        </w:tc>
      </w:tr>
      <w:tr w14:paraId="488F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0DBDE58C">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技术负责人</w:t>
            </w:r>
          </w:p>
        </w:tc>
        <w:tc>
          <w:tcPr>
            <w:tcW w:w="1751" w:type="dxa"/>
            <w:gridSpan w:val="2"/>
            <w:vAlign w:val="center"/>
          </w:tcPr>
          <w:p w14:paraId="36E8FB06">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Align w:val="center"/>
          </w:tcPr>
          <w:p w14:paraId="21B89090">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技术职称</w:t>
            </w:r>
          </w:p>
        </w:tc>
        <w:tc>
          <w:tcPr>
            <w:tcW w:w="1759" w:type="dxa"/>
            <w:gridSpan w:val="2"/>
            <w:vAlign w:val="center"/>
          </w:tcPr>
          <w:p w14:paraId="70598F50">
            <w:pPr>
              <w:spacing w:line="400" w:lineRule="atLeast"/>
              <w:ind w:firstLine="0" w:firstLineChars="0"/>
              <w:jc w:val="center"/>
              <w:rPr>
                <w:color w:val="000000" w:themeColor="text1"/>
                <w:sz w:val="24"/>
                <w:highlight w:val="none"/>
                <w14:textFill>
                  <w14:solidFill>
                    <w14:schemeClr w14:val="tx1"/>
                  </w14:solidFill>
                </w14:textFill>
              </w:rPr>
            </w:pPr>
          </w:p>
        </w:tc>
        <w:tc>
          <w:tcPr>
            <w:tcW w:w="765" w:type="dxa"/>
            <w:vAlign w:val="center"/>
          </w:tcPr>
          <w:p w14:paraId="5BB9E0BE">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电话</w:t>
            </w:r>
          </w:p>
        </w:tc>
        <w:tc>
          <w:tcPr>
            <w:tcW w:w="1824" w:type="dxa"/>
            <w:vAlign w:val="center"/>
          </w:tcPr>
          <w:p w14:paraId="6FA11C12">
            <w:pPr>
              <w:spacing w:line="400" w:lineRule="atLeast"/>
              <w:ind w:firstLine="0" w:firstLineChars="0"/>
              <w:jc w:val="center"/>
              <w:rPr>
                <w:color w:val="000000" w:themeColor="text1"/>
                <w:sz w:val="24"/>
                <w:highlight w:val="none"/>
                <w14:textFill>
                  <w14:solidFill>
                    <w14:schemeClr w14:val="tx1"/>
                  </w14:solidFill>
                </w14:textFill>
              </w:rPr>
            </w:pPr>
          </w:p>
        </w:tc>
      </w:tr>
      <w:tr w14:paraId="0944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8A19DED">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成立时间</w:t>
            </w:r>
          </w:p>
        </w:tc>
        <w:tc>
          <w:tcPr>
            <w:tcW w:w="1751" w:type="dxa"/>
            <w:gridSpan w:val="2"/>
            <w:vAlign w:val="center"/>
          </w:tcPr>
          <w:p w14:paraId="6B9635E3">
            <w:pPr>
              <w:spacing w:line="400" w:lineRule="atLeast"/>
              <w:ind w:firstLine="0" w:firstLineChars="0"/>
              <w:jc w:val="center"/>
              <w:rPr>
                <w:color w:val="000000" w:themeColor="text1"/>
                <w:sz w:val="24"/>
                <w:highlight w:val="none"/>
                <w14:textFill>
                  <w14:solidFill>
                    <w14:schemeClr w14:val="tx1"/>
                  </w14:solidFill>
                </w14:textFill>
              </w:rPr>
            </w:pPr>
          </w:p>
        </w:tc>
        <w:tc>
          <w:tcPr>
            <w:tcW w:w="3105" w:type="dxa"/>
            <w:gridSpan w:val="3"/>
            <w:vAlign w:val="center"/>
          </w:tcPr>
          <w:p w14:paraId="33D18946">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员工总人数</w:t>
            </w:r>
          </w:p>
        </w:tc>
        <w:tc>
          <w:tcPr>
            <w:tcW w:w="2589" w:type="dxa"/>
            <w:gridSpan w:val="2"/>
            <w:vAlign w:val="center"/>
          </w:tcPr>
          <w:p w14:paraId="7BC9FF06">
            <w:pPr>
              <w:spacing w:line="400" w:lineRule="atLeast"/>
              <w:ind w:firstLine="0" w:firstLineChars="0"/>
              <w:rPr>
                <w:color w:val="000000" w:themeColor="text1"/>
                <w:sz w:val="24"/>
                <w:highlight w:val="none"/>
                <w14:textFill>
                  <w14:solidFill>
                    <w14:schemeClr w14:val="tx1"/>
                  </w14:solidFill>
                </w14:textFill>
              </w:rPr>
            </w:pPr>
          </w:p>
        </w:tc>
      </w:tr>
      <w:tr w14:paraId="1F40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47ADF3A">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企业资质等级</w:t>
            </w:r>
          </w:p>
        </w:tc>
        <w:tc>
          <w:tcPr>
            <w:tcW w:w="1751" w:type="dxa"/>
            <w:gridSpan w:val="2"/>
            <w:vAlign w:val="center"/>
          </w:tcPr>
          <w:p w14:paraId="3C02A266">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Merge w:val="restart"/>
            <w:vAlign w:val="center"/>
          </w:tcPr>
          <w:p w14:paraId="3E2F7B45">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其中</w:t>
            </w:r>
          </w:p>
        </w:tc>
        <w:tc>
          <w:tcPr>
            <w:tcW w:w="1759" w:type="dxa"/>
            <w:gridSpan w:val="2"/>
            <w:vAlign w:val="center"/>
          </w:tcPr>
          <w:p w14:paraId="3CC38E6F">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高级职称人员</w:t>
            </w:r>
          </w:p>
        </w:tc>
        <w:tc>
          <w:tcPr>
            <w:tcW w:w="2589" w:type="dxa"/>
            <w:gridSpan w:val="2"/>
            <w:vAlign w:val="center"/>
          </w:tcPr>
          <w:p w14:paraId="0B7ADC23">
            <w:pPr>
              <w:spacing w:line="400" w:lineRule="atLeast"/>
              <w:ind w:firstLine="0" w:firstLineChars="0"/>
              <w:jc w:val="center"/>
              <w:rPr>
                <w:color w:val="000000" w:themeColor="text1"/>
                <w:sz w:val="24"/>
                <w:highlight w:val="none"/>
                <w14:textFill>
                  <w14:solidFill>
                    <w14:schemeClr w14:val="tx1"/>
                  </w14:solidFill>
                </w14:textFill>
              </w:rPr>
            </w:pPr>
          </w:p>
        </w:tc>
      </w:tr>
      <w:tr w14:paraId="720E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083C792">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营业执照号</w:t>
            </w:r>
          </w:p>
        </w:tc>
        <w:tc>
          <w:tcPr>
            <w:tcW w:w="1751" w:type="dxa"/>
            <w:gridSpan w:val="2"/>
            <w:vAlign w:val="center"/>
          </w:tcPr>
          <w:p w14:paraId="01CFDD90">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Merge w:val="continue"/>
            <w:vAlign w:val="center"/>
          </w:tcPr>
          <w:p w14:paraId="0351B609">
            <w:pPr>
              <w:spacing w:line="400" w:lineRule="atLeast"/>
              <w:ind w:firstLine="0" w:firstLineChars="0"/>
              <w:jc w:val="center"/>
              <w:rPr>
                <w:color w:val="000000" w:themeColor="text1"/>
                <w:sz w:val="24"/>
                <w:highlight w:val="none"/>
                <w14:textFill>
                  <w14:solidFill>
                    <w14:schemeClr w14:val="tx1"/>
                  </w14:solidFill>
                </w14:textFill>
              </w:rPr>
            </w:pPr>
          </w:p>
        </w:tc>
        <w:tc>
          <w:tcPr>
            <w:tcW w:w="1759" w:type="dxa"/>
            <w:gridSpan w:val="2"/>
            <w:vAlign w:val="center"/>
          </w:tcPr>
          <w:p w14:paraId="1A8DCC4E">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中级职称人员</w:t>
            </w:r>
          </w:p>
        </w:tc>
        <w:tc>
          <w:tcPr>
            <w:tcW w:w="2589" w:type="dxa"/>
            <w:gridSpan w:val="2"/>
            <w:vAlign w:val="center"/>
          </w:tcPr>
          <w:p w14:paraId="13E2CB6B">
            <w:pPr>
              <w:spacing w:line="400" w:lineRule="atLeast"/>
              <w:ind w:firstLine="0" w:firstLineChars="0"/>
              <w:jc w:val="center"/>
              <w:rPr>
                <w:color w:val="000000" w:themeColor="text1"/>
                <w:sz w:val="24"/>
                <w:highlight w:val="none"/>
                <w14:textFill>
                  <w14:solidFill>
                    <w14:schemeClr w14:val="tx1"/>
                  </w14:solidFill>
                </w14:textFill>
              </w:rPr>
            </w:pPr>
          </w:p>
        </w:tc>
      </w:tr>
      <w:tr w14:paraId="1478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B844550">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注册资金</w:t>
            </w:r>
          </w:p>
        </w:tc>
        <w:tc>
          <w:tcPr>
            <w:tcW w:w="1751" w:type="dxa"/>
            <w:gridSpan w:val="2"/>
            <w:vAlign w:val="center"/>
          </w:tcPr>
          <w:p w14:paraId="15DD4B13">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Merge w:val="continue"/>
            <w:vAlign w:val="center"/>
          </w:tcPr>
          <w:p w14:paraId="71310783">
            <w:pPr>
              <w:spacing w:line="400" w:lineRule="atLeast"/>
              <w:ind w:firstLine="0" w:firstLineChars="0"/>
              <w:jc w:val="center"/>
              <w:rPr>
                <w:color w:val="000000" w:themeColor="text1"/>
                <w:sz w:val="24"/>
                <w:highlight w:val="none"/>
                <w14:textFill>
                  <w14:solidFill>
                    <w14:schemeClr w14:val="tx1"/>
                  </w14:solidFill>
                </w14:textFill>
              </w:rPr>
            </w:pPr>
          </w:p>
        </w:tc>
        <w:tc>
          <w:tcPr>
            <w:tcW w:w="1759" w:type="dxa"/>
            <w:gridSpan w:val="2"/>
            <w:vAlign w:val="center"/>
          </w:tcPr>
          <w:p w14:paraId="360839C2">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初级职称人员</w:t>
            </w:r>
          </w:p>
        </w:tc>
        <w:tc>
          <w:tcPr>
            <w:tcW w:w="2589" w:type="dxa"/>
            <w:gridSpan w:val="2"/>
            <w:vAlign w:val="center"/>
          </w:tcPr>
          <w:p w14:paraId="3BB87D67">
            <w:pPr>
              <w:spacing w:line="400" w:lineRule="atLeast"/>
              <w:ind w:firstLine="0" w:firstLineChars="0"/>
              <w:jc w:val="center"/>
              <w:rPr>
                <w:color w:val="000000" w:themeColor="text1"/>
                <w:sz w:val="24"/>
                <w:highlight w:val="none"/>
                <w14:textFill>
                  <w14:solidFill>
                    <w14:schemeClr w14:val="tx1"/>
                  </w14:solidFill>
                </w14:textFill>
              </w:rPr>
            </w:pPr>
          </w:p>
        </w:tc>
      </w:tr>
      <w:tr w14:paraId="1F01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9676AE1">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开户银行</w:t>
            </w:r>
          </w:p>
        </w:tc>
        <w:tc>
          <w:tcPr>
            <w:tcW w:w="1751" w:type="dxa"/>
            <w:gridSpan w:val="2"/>
            <w:vAlign w:val="center"/>
          </w:tcPr>
          <w:p w14:paraId="2EF8ECAF">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Merge w:val="continue"/>
            <w:vAlign w:val="center"/>
          </w:tcPr>
          <w:p w14:paraId="74CF8F30">
            <w:pPr>
              <w:spacing w:line="400" w:lineRule="atLeast"/>
              <w:ind w:firstLine="0" w:firstLineChars="0"/>
              <w:jc w:val="center"/>
              <w:rPr>
                <w:color w:val="000000" w:themeColor="text1"/>
                <w:sz w:val="24"/>
                <w:highlight w:val="none"/>
                <w14:textFill>
                  <w14:solidFill>
                    <w14:schemeClr w14:val="tx1"/>
                  </w14:solidFill>
                </w14:textFill>
              </w:rPr>
            </w:pPr>
          </w:p>
        </w:tc>
        <w:tc>
          <w:tcPr>
            <w:tcW w:w="1759" w:type="dxa"/>
            <w:gridSpan w:val="2"/>
            <w:vAlign w:val="center"/>
          </w:tcPr>
          <w:p w14:paraId="643A83F2">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技工</w:t>
            </w:r>
          </w:p>
        </w:tc>
        <w:tc>
          <w:tcPr>
            <w:tcW w:w="2589" w:type="dxa"/>
            <w:gridSpan w:val="2"/>
            <w:vAlign w:val="center"/>
          </w:tcPr>
          <w:p w14:paraId="5A3DBA48">
            <w:pPr>
              <w:spacing w:line="400" w:lineRule="atLeast"/>
              <w:ind w:firstLine="0" w:firstLineChars="0"/>
              <w:jc w:val="center"/>
              <w:rPr>
                <w:color w:val="000000" w:themeColor="text1"/>
                <w:sz w:val="24"/>
                <w:highlight w:val="none"/>
                <w14:textFill>
                  <w14:solidFill>
                    <w14:schemeClr w14:val="tx1"/>
                  </w14:solidFill>
                </w14:textFill>
              </w:rPr>
            </w:pPr>
          </w:p>
        </w:tc>
      </w:tr>
      <w:tr w14:paraId="3FE4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236A269">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账号</w:t>
            </w:r>
          </w:p>
        </w:tc>
        <w:tc>
          <w:tcPr>
            <w:tcW w:w="1751" w:type="dxa"/>
            <w:gridSpan w:val="2"/>
            <w:vAlign w:val="center"/>
          </w:tcPr>
          <w:p w14:paraId="33E22961">
            <w:pPr>
              <w:spacing w:line="400" w:lineRule="atLeast"/>
              <w:ind w:firstLine="0" w:firstLineChars="0"/>
              <w:jc w:val="center"/>
              <w:rPr>
                <w:color w:val="000000" w:themeColor="text1"/>
                <w:sz w:val="24"/>
                <w:highlight w:val="none"/>
                <w14:textFill>
                  <w14:solidFill>
                    <w14:schemeClr w14:val="tx1"/>
                  </w14:solidFill>
                </w14:textFill>
              </w:rPr>
            </w:pPr>
          </w:p>
        </w:tc>
        <w:tc>
          <w:tcPr>
            <w:tcW w:w="1346" w:type="dxa"/>
            <w:vMerge w:val="continue"/>
            <w:vAlign w:val="center"/>
          </w:tcPr>
          <w:p w14:paraId="7CA87A72">
            <w:pPr>
              <w:spacing w:line="400" w:lineRule="atLeast"/>
              <w:ind w:firstLine="0" w:firstLineChars="0"/>
              <w:jc w:val="center"/>
              <w:rPr>
                <w:color w:val="000000" w:themeColor="text1"/>
                <w:sz w:val="24"/>
                <w:highlight w:val="none"/>
                <w14:textFill>
                  <w14:solidFill>
                    <w14:schemeClr w14:val="tx1"/>
                  </w14:solidFill>
                </w14:textFill>
              </w:rPr>
            </w:pPr>
          </w:p>
        </w:tc>
        <w:tc>
          <w:tcPr>
            <w:tcW w:w="1759" w:type="dxa"/>
            <w:gridSpan w:val="2"/>
            <w:vAlign w:val="center"/>
          </w:tcPr>
          <w:p w14:paraId="46947B91">
            <w:pPr>
              <w:spacing w:line="400" w:lineRule="atLeast"/>
              <w:ind w:firstLine="0" w:firstLineChars="0"/>
              <w:jc w:val="center"/>
              <w:rPr>
                <w:color w:val="000000" w:themeColor="text1"/>
                <w:sz w:val="24"/>
                <w:highlight w:val="none"/>
                <w14:textFill>
                  <w14:solidFill>
                    <w14:schemeClr w14:val="tx1"/>
                  </w14:solidFill>
                </w14:textFill>
              </w:rPr>
            </w:pPr>
          </w:p>
        </w:tc>
        <w:tc>
          <w:tcPr>
            <w:tcW w:w="2589" w:type="dxa"/>
            <w:gridSpan w:val="2"/>
            <w:vAlign w:val="center"/>
          </w:tcPr>
          <w:p w14:paraId="7B971E2A">
            <w:pPr>
              <w:spacing w:line="400" w:lineRule="atLeast"/>
              <w:ind w:firstLine="0" w:firstLineChars="0"/>
              <w:jc w:val="center"/>
              <w:rPr>
                <w:color w:val="000000" w:themeColor="text1"/>
                <w:sz w:val="24"/>
                <w:highlight w:val="none"/>
                <w14:textFill>
                  <w14:solidFill>
                    <w14:schemeClr w14:val="tx1"/>
                  </w14:solidFill>
                </w14:textFill>
              </w:rPr>
            </w:pPr>
          </w:p>
        </w:tc>
      </w:tr>
      <w:tr w14:paraId="19D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632DA0ED">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经营范围</w:t>
            </w:r>
          </w:p>
        </w:tc>
        <w:tc>
          <w:tcPr>
            <w:tcW w:w="7445" w:type="dxa"/>
            <w:gridSpan w:val="7"/>
            <w:vAlign w:val="center"/>
          </w:tcPr>
          <w:p w14:paraId="201BCB55">
            <w:pPr>
              <w:spacing w:line="400" w:lineRule="atLeast"/>
              <w:ind w:firstLine="0" w:firstLineChars="0"/>
              <w:jc w:val="center"/>
              <w:rPr>
                <w:color w:val="000000" w:themeColor="text1"/>
                <w:sz w:val="24"/>
                <w:highlight w:val="none"/>
                <w14:textFill>
                  <w14:solidFill>
                    <w14:schemeClr w14:val="tx1"/>
                  </w14:solidFill>
                </w14:textFill>
              </w:rPr>
            </w:pPr>
          </w:p>
        </w:tc>
      </w:tr>
      <w:tr w14:paraId="5558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54989889">
            <w:pPr>
              <w:spacing w:line="400" w:lineRule="atLeast"/>
              <w:ind w:firstLine="0" w:firstLineChars="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c>
          <w:tcPr>
            <w:tcW w:w="7445" w:type="dxa"/>
            <w:gridSpan w:val="7"/>
            <w:vAlign w:val="center"/>
          </w:tcPr>
          <w:p w14:paraId="5502FBAB">
            <w:pPr>
              <w:spacing w:line="400" w:lineRule="atLeast"/>
              <w:ind w:firstLine="0" w:firstLineChars="0"/>
              <w:jc w:val="center"/>
              <w:rPr>
                <w:color w:val="000000" w:themeColor="text1"/>
                <w:sz w:val="24"/>
                <w:highlight w:val="none"/>
                <w14:textFill>
                  <w14:solidFill>
                    <w14:schemeClr w14:val="tx1"/>
                  </w14:solidFill>
                </w14:textFill>
              </w:rPr>
            </w:pPr>
          </w:p>
        </w:tc>
      </w:tr>
    </w:tbl>
    <w:p w14:paraId="05C15859">
      <w:pPr>
        <w:pStyle w:val="16"/>
        <w:spacing w:before="120" w:after="120" w:line="400" w:lineRule="atLeast"/>
        <w:ind w:firstLine="420"/>
        <w:jc w:val="both"/>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注：后附企业营业执照</w:t>
      </w:r>
      <w:r>
        <w:rPr>
          <w:rFonts w:hint="eastAsia"/>
          <w:color w:val="000000" w:themeColor="text1"/>
          <w:highlight w:val="none"/>
          <w:lang w:val="en-US" w:eastAsia="zh-CN"/>
          <w14:textFill>
            <w14:solidFill>
              <w14:schemeClr w14:val="tx1"/>
            </w14:solidFill>
          </w14:textFill>
        </w:rPr>
        <w:t>等盖章扫描件</w:t>
      </w:r>
    </w:p>
    <w:p w14:paraId="69AE5ADD">
      <w:pPr>
        <w:pStyle w:val="4"/>
        <w:spacing w:line="400" w:lineRule="atLeast"/>
        <w:ind w:firstLine="0" w:firstLineChars="0"/>
        <w:jc w:val="center"/>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43" w:name="_Toc23104"/>
      <w:r>
        <w:rPr>
          <w:rFonts w:hint="eastAsia" w:ascii="黑体" w:hAnsi="黑体" w:eastAsia="黑体" w:cs="黑体"/>
          <w:b w:val="0"/>
          <w:bCs/>
          <w:color w:val="000000" w:themeColor="text1"/>
          <w:szCs w:val="32"/>
          <w:highlight w:val="none"/>
          <w14:textFill>
            <w14:solidFill>
              <w14:schemeClr w14:val="tx1"/>
            </w14:solidFill>
          </w14:textFill>
        </w:rPr>
        <w:t>六、项目负责人简历表</w:t>
      </w:r>
      <w:bookmarkEnd w:id="243"/>
    </w:p>
    <w:tbl>
      <w:tblPr>
        <w:tblStyle w:val="48"/>
        <w:tblW w:w="87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1139"/>
        <w:gridCol w:w="1291"/>
        <w:gridCol w:w="1125"/>
        <w:gridCol w:w="2160"/>
      </w:tblGrid>
      <w:tr w14:paraId="0FD6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14:paraId="5B4B966D">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897" w:type="dxa"/>
            <w:gridSpan w:val="2"/>
            <w:vAlign w:val="center"/>
          </w:tcPr>
          <w:p w14:paraId="54F33E55">
            <w:pPr>
              <w:spacing w:line="400" w:lineRule="atLeast"/>
              <w:ind w:firstLine="0" w:firstLineChars="0"/>
              <w:jc w:val="center"/>
              <w:rPr>
                <w:color w:val="000000" w:themeColor="text1"/>
                <w:highlight w:val="none"/>
                <w14:textFill>
                  <w14:solidFill>
                    <w14:schemeClr w14:val="tx1"/>
                  </w14:solidFill>
                </w14:textFill>
              </w:rPr>
            </w:pPr>
          </w:p>
        </w:tc>
        <w:tc>
          <w:tcPr>
            <w:tcW w:w="1139" w:type="dxa"/>
            <w:vAlign w:val="center"/>
          </w:tcPr>
          <w:p w14:paraId="04CBF4D9">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性别</w:t>
            </w:r>
          </w:p>
        </w:tc>
        <w:tc>
          <w:tcPr>
            <w:tcW w:w="1291" w:type="dxa"/>
            <w:vAlign w:val="center"/>
          </w:tcPr>
          <w:p w14:paraId="11B35BC2">
            <w:pPr>
              <w:spacing w:line="400" w:lineRule="atLeast"/>
              <w:ind w:firstLine="0" w:firstLineChars="0"/>
              <w:jc w:val="center"/>
              <w:rPr>
                <w:color w:val="000000" w:themeColor="text1"/>
                <w:highlight w:val="none"/>
                <w14:textFill>
                  <w14:solidFill>
                    <w14:schemeClr w14:val="tx1"/>
                  </w14:solidFill>
                </w14:textFill>
              </w:rPr>
            </w:pPr>
          </w:p>
        </w:tc>
        <w:tc>
          <w:tcPr>
            <w:tcW w:w="1125" w:type="dxa"/>
            <w:vAlign w:val="center"/>
          </w:tcPr>
          <w:p w14:paraId="719499CA">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2160" w:type="dxa"/>
            <w:vAlign w:val="center"/>
          </w:tcPr>
          <w:p w14:paraId="3105A006">
            <w:pPr>
              <w:spacing w:line="400" w:lineRule="atLeast"/>
              <w:ind w:firstLine="0" w:firstLineChars="0"/>
              <w:jc w:val="center"/>
              <w:rPr>
                <w:color w:val="000000" w:themeColor="text1"/>
                <w:highlight w:val="none"/>
                <w14:textFill>
                  <w14:solidFill>
                    <w14:schemeClr w14:val="tx1"/>
                  </w14:solidFill>
                </w14:textFill>
              </w:rPr>
            </w:pPr>
          </w:p>
        </w:tc>
      </w:tr>
      <w:tr w14:paraId="2F84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14:paraId="6A73A7B1">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897" w:type="dxa"/>
            <w:gridSpan w:val="2"/>
            <w:vAlign w:val="center"/>
          </w:tcPr>
          <w:p w14:paraId="7ADAC54E">
            <w:pPr>
              <w:spacing w:line="400" w:lineRule="atLeast"/>
              <w:ind w:firstLine="0" w:firstLineChars="0"/>
              <w:jc w:val="center"/>
              <w:rPr>
                <w:color w:val="000000" w:themeColor="text1"/>
                <w:highlight w:val="none"/>
                <w14:textFill>
                  <w14:solidFill>
                    <w14:schemeClr w14:val="tx1"/>
                  </w14:solidFill>
                </w14:textFill>
              </w:rPr>
            </w:pPr>
          </w:p>
        </w:tc>
        <w:tc>
          <w:tcPr>
            <w:tcW w:w="1139" w:type="dxa"/>
            <w:vAlign w:val="center"/>
          </w:tcPr>
          <w:p w14:paraId="0CEF4CF2">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291" w:type="dxa"/>
            <w:vAlign w:val="center"/>
          </w:tcPr>
          <w:p w14:paraId="5F0454A2">
            <w:pPr>
              <w:spacing w:line="400" w:lineRule="atLeast"/>
              <w:ind w:firstLine="0" w:firstLineChars="0"/>
              <w:jc w:val="center"/>
              <w:rPr>
                <w:color w:val="000000" w:themeColor="text1"/>
                <w:highlight w:val="none"/>
                <w14:textFill>
                  <w14:solidFill>
                    <w14:schemeClr w14:val="tx1"/>
                  </w14:solidFill>
                </w14:textFill>
              </w:rPr>
            </w:pPr>
          </w:p>
        </w:tc>
        <w:tc>
          <w:tcPr>
            <w:tcW w:w="1125" w:type="dxa"/>
            <w:vAlign w:val="center"/>
          </w:tcPr>
          <w:p w14:paraId="57EE2615">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学历</w:t>
            </w:r>
          </w:p>
        </w:tc>
        <w:tc>
          <w:tcPr>
            <w:tcW w:w="2160" w:type="dxa"/>
            <w:vAlign w:val="center"/>
          </w:tcPr>
          <w:p w14:paraId="12CA2F80">
            <w:pPr>
              <w:spacing w:line="400" w:lineRule="atLeast"/>
              <w:ind w:firstLine="0" w:firstLineChars="0"/>
              <w:jc w:val="center"/>
              <w:rPr>
                <w:color w:val="000000" w:themeColor="text1"/>
                <w:highlight w:val="none"/>
                <w14:textFill>
                  <w14:solidFill>
                    <w14:schemeClr w14:val="tx1"/>
                  </w14:solidFill>
                </w14:textFill>
              </w:rPr>
            </w:pPr>
          </w:p>
        </w:tc>
      </w:tr>
      <w:tr w14:paraId="09F2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14:paraId="3C3998BC">
            <w:pPr>
              <w:tabs>
                <w:tab w:val="left" w:pos="1080"/>
              </w:tabs>
              <w:spacing w:line="400" w:lineRule="atLeast"/>
              <w:ind w:firstLine="0" w:firstLineChars="0"/>
              <w:jc w:val="center"/>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注册证号</w:t>
            </w:r>
          </w:p>
        </w:tc>
        <w:tc>
          <w:tcPr>
            <w:tcW w:w="2277" w:type="dxa"/>
            <w:gridSpan w:val="2"/>
            <w:vAlign w:val="center"/>
          </w:tcPr>
          <w:p w14:paraId="174E6C07">
            <w:pPr>
              <w:spacing w:line="400" w:lineRule="atLeast"/>
              <w:ind w:firstLine="0" w:firstLineChars="0"/>
              <w:jc w:val="center"/>
              <w:rPr>
                <w:color w:val="000000" w:themeColor="text1"/>
                <w:highlight w:val="none"/>
                <w14:textFill>
                  <w14:solidFill>
                    <w14:schemeClr w14:val="tx1"/>
                  </w14:solidFill>
                </w14:textFill>
              </w:rPr>
            </w:pPr>
          </w:p>
        </w:tc>
        <w:tc>
          <w:tcPr>
            <w:tcW w:w="2416" w:type="dxa"/>
            <w:gridSpan w:val="2"/>
            <w:vAlign w:val="center"/>
          </w:tcPr>
          <w:p w14:paraId="0675DDB4">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2160" w:type="dxa"/>
            <w:vAlign w:val="center"/>
          </w:tcPr>
          <w:p w14:paraId="1376E71D">
            <w:pPr>
              <w:spacing w:line="400" w:lineRule="atLeast"/>
              <w:ind w:firstLine="0" w:firstLineChars="0"/>
              <w:jc w:val="center"/>
              <w:rPr>
                <w:color w:val="000000" w:themeColor="text1"/>
                <w:highlight w:val="none"/>
                <w14:textFill>
                  <w14:solidFill>
                    <w14:schemeClr w14:val="tx1"/>
                  </w14:solidFill>
                </w14:textFill>
              </w:rPr>
            </w:pPr>
          </w:p>
        </w:tc>
      </w:tr>
      <w:tr w14:paraId="2691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14:paraId="4FF7915C">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参加工作时间</w:t>
            </w:r>
          </w:p>
        </w:tc>
        <w:tc>
          <w:tcPr>
            <w:tcW w:w="2277" w:type="dxa"/>
            <w:gridSpan w:val="2"/>
            <w:vAlign w:val="center"/>
          </w:tcPr>
          <w:p w14:paraId="6EB2D91D">
            <w:pPr>
              <w:spacing w:line="400" w:lineRule="atLeast"/>
              <w:ind w:firstLine="0" w:firstLineChars="0"/>
              <w:jc w:val="center"/>
              <w:rPr>
                <w:color w:val="000000" w:themeColor="text1"/>
                <w:highlight w:val="none"/>
                <w14:textFill>
                  <w14:solidFill>
                    <w14:schemeClr w14:val="tx1"/>
                  </w14:solidFill>
                </w14:textFill>
              </w:rPr>
            </w:pPr>
          </w:p>
        </w:tc>
        <w:tc>
          <w:tcPr>
            <w:tcW w:w="2416" w:type="dxa"/>
            <w:gridSpan w:val="2"/>
            <w:vAlign w:val="center"/>
          </w:tcPr>
          <w:p w14:paraId="57C18135">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从事项目负责人年限</w:t>
            </w:r>
          </w:p>
        </w:tc>
        <w:tc>
          <w:tcPr>
            <w:tcW w:w="2160" w:type="dxa"/>
            <w:vAlign w:val="center"/>
          </w:tcPr>
          <w:p w14:paraId="6F868520">
            <w:pPr>
              <w:spacing w:line="400" w:lineRule="atLeast"/>
              <w:ind w:firstLine="0" w:firstLineChars="0"/>
              <w:jc w:val="center"/>
              <w:rPr>
                <w:color w:val="000000" w:themeColor="text1"/>
                <w:highlight w:val="none"/>
                <w14:textFill>
                  <w14:solidFill>
                    <w14:schemeClr w14:val="tx1"/>
                  </w14:solidFill>
                </w14:textFill>
              </w:rPr>
            </w:pPr>
          </w:p>
        </w:tc>
      </w:tr>
      <w:tr w14:paraId="5855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139" w:type="dxa"/>
            <w:vAlign w:val="center"/>
          </w:tcPr>
          <w:p w14:paraId="7B65399E">
            <w:pPr>
              <w:spacing w:line="400" w:lineRule="atLeas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项目负责人简历</w:t>
            </w:r>
          </w:p>
        </w:tc>
        <w:tc>
          <w:tcPr>
            <w:tcW w:w="7612" w:type="dxa"/>
            <w:gridSpan w:val="6"/>
            <w:vAlign w:val="center"/>
          </w:tcPr>
          <w:p w14:paraId="0AA50634">
            <w:pPr>
              <w:spacing w:line="400" w:lineRule="atLeast"/>
              <w:ind w:firstLine="0" w:firstLineChars="0"/>
              <w:jc w:val="center"/>
              <w:rPr>
                <w:color w:val="000000" w:themeColor="text1"/>
                <w:highlight w:val="none"/>
                <w14:textFill>
                  <w14:solidFill>
                    <w14:schemeClr w14:val="tx1"/>
                  </w14:solidFill>
                </w14:textFill>
              </w:rPr>
            </w:pPr>
          </w:p>
          <w:p w14:paraId="7D9B400A">
            <w:pPr>
              <w:pStyle w:val="18"/>
              <w:ind w:firstLine="420"/>
              <w:rPr>
                <w:color w:val="000000" w:themeColor="text1"/>
                <w:highlight w:val="none"/>
                <w14:textFill>
                  <w14:solidFill>
                    <w14:schemeClr w14:val="tx1"/>
                  </w14:solidFill>
                </w14:textFill>
              </w:rPr>
            </w:pPr>
          </w:p>
          <w:p w14:paraId="1DAF2F50">
            <w:pPr>
              <w:pStyle w:val="18"/>
              <w:ind w:firstLine="420"/>
              <w:rPr>
                <w:color w:val="000000" w:themeColor="text1"/>
                <w:highlight w:val="none"/>
                <w14:textFill>
                  <w14:solidFill>
                    <w14:schemeClr w14:val="tx1"/>
                  </w14:solidFill>
                </w14:textFill>
              </w:rPr>
            </w:pPr>
          </w:p>
          <w:p w14:paraId="0B26BDFC">
            <w:pPr>
              <w:pStyle w:val="18"/>
              <w:ind w:firstLine="420"/>
              <w:rPr>
                <w:color w:val="000000" w:themeColor="text1"/>
                <w:highlight w:val="none"/>
                <w14:textFill>
                  <w14:solidFill>
                    <w14:schemeClr w14:val="tx1"/>
                  </w14:solidFill>
                </w14:textFill>
              </w:rPr>
            </w:pPr>
          </w:p>
          <w:p w14:paraId="5CD644DA">
            <w:pPr>
              <w:pStyle w:val="18"/>
              <w:ind w:firstLine="420"/>
              <w:rPr>
                <w:color w:val="000000" w:themeColor="text1"/>
                <w:highlight w:val="none"/>
                <w14:textFill>
                  <w14:solidFill>
                    <w14:schemeClr w14:val="tx1"/>
                  </w14:solidFill>
                </w14:textFill>
              </w:rPr>
            </w:pPr>
          </w:p>
          <w:p w14:paraId="2955B6D0">
            <w:pPr>
              <w:pStyle w:val="18"/>
              <w:ind w:firstLine="420"/>
              <w:rPr>
                <w:color w:val="000000" w:themeColor="text1"/>
                <w:highlight w:val="none"/>
                <w14:textFill>
                  <w14:solidFill>
                    <w14:schemeClr w14:val="tx1"/>
                  </w14:solidFill>
                </w14:textFill>
              </w:rPr>
            </w:pPr>
          </w:p>
          <w:p w14:paraId="01120CA1">
            <w:pPr>
              <w:pStyle w:val="18"/>
              <w:ind w:firstLine="420"/>
              <w:rPr>
                <w:color w:val="000000" w:themeColor="text1"/>
                <w:highlight w:val="none"/>
                <w14:textFill>
                  <w14:solidFill>
                    <w14:schemeClr w14:val="tx1"/>
                  </w14:solidFill>
                </w14:textFill>
              </w:rPr>
            </w:pPr>
          </w:p>
          <w:p w14:paraId="66482013">
            <w:pPr>
              <w:pStyle w:val="18"/>
              <w:ind w:firstLine="420"/>
              <w:rPr>
                <w:color w:val="000000" w:themeColor="text1"/>
                <w:highlight w:val="none"/>
                <w14:textFill>
                  <w14:solidFill>
                    <w14:schemeClr w14:val="tx1"/>
                  </w14:solidFill>
                </w14:textFill>
              </w:rPr>
            </w:pPr>
          </w:p>
          <w:p w14:paraId="4AB1ADEB">
            <w:pPr>
              <w:pStyle w:val="18"/>
              <w:ind w:firstLine="420"/>
              <w:rPr>
                <w:color w:val="000000" w:themeColor="text1"/>
                <w:highlight w:val="none"/>
                <w14:textFill>
                  <w14:solidFill>
                    <w14:schemeClr w14:val="tx1"/>
                  </w14:solidFill>
                </w14:textFill>
              </w:rPr>
            </w:pPr>
          </w:p>
        </w:tc>
      </w:tr>
    </w:tbl>
    <w:p w14:paraId="2EABE27C">
      <w:pPr>
        <w:spacing w:beforeLines="50" w:afterLines="50" w:line="400" w:lineRule="atLeast"/>
        <w:ind w:left="772" w:leftChars="100" w:hanging="562" w:hangingChars="200"/>
        <w:jc w:val="center"/>
        <w:rPr>
          <w:b/>
          <w:color w:val="000000" w:themeColor="text1"/>
          <w:sz w:val="28"/>
          <w:szCs w:val="28"/>
          <w:highlight w:val="none"/>
          <w14:textFill>
            <w14:solidFill>
              <w14:schemeClr w14:val="tx1"/>
            </w14:solidFill>
          </w14:textFill>
        </w:rPr>
        <w:sectPr>
          <w:pgSz w:w="11907" w:h="16840"/>
          <w:pgMar w:top="1474" w:right="1474" w:bottom="1247" w:left="1587" w:header="851" w:footer="851" w:gutter="0"/>
          <w:pgBorders>
            <w:top w:val="none" w:sz="0" w:space="0"/>
            <w:left w:val="none" w:sz="0" w:space="0"/>
            <w:bottom w:val="none" w:sz="0" w:space="0"/>
            <w:right w:val="none" w:sz="0" w:space="0"/>
          </w:pgBorders>
          <w:cols w:space="0" w:num="1"/>
          <w:docGrid w:linePitch="312" w:charSpace="0"/>
        </w:sectPr>
      </w:pPr>
    </w:p>
    <w:p w14:paraId="26B9AA03">
      <w:pPr>
        <w:numPr>
          <w:ilvl w:val="0"/>
          <w:numId w:val="6"/>
        </w:numPr>
        <w:ind w:left="0" w:leftChars="0" w:firstLine="0" w:firstLineChars="0"/>
        <w:jc w:val="center"/>
        <w:rPr>
          <w:rFonts w:hint="eastAsia" w:ascii="黑体" w:hAnsi="黑体" w:eastAsia="黑体" w:cs="黑体"/>
          <w:b w:val="0"/>
          <w:color w:val="000000" w:themeColor="text1"/>
          <w:sz w:val="32"/>
          <w:szCs w:val="32"/>
          <w:highlight w:val="none"/>
          <w14:textFill>
            <w14:solidFill>
              <w14:schemeClr w14:val="tx1"/>
            </w14:solidFill>
          </w14:textFill>
        </w:rPr>
      </w:pPr>
      <w:bookmarkStart w:id="244" w:name="_Toc27527"/>
      <w:r>
        <w:rPr>
          <w:rFonts w:hint="eastAsia" w:ascii="黑体" w:hAnsi="黑体" w:eastAsia="黑体" w:cs="黑体"/>
          <w:b w:val="0"/>
          <w:color w:val="000000" w:themeColor="text1"/>
          <w:sz w:val="32"/>
          <w:szCs w:val="32"/>
          <w:highlight w:val="none"/>
          <w14:textFill>
            <w14:solidFill>
              <w14:schemeClr w14:val="tx1"/>
            </w14:solidFill>
          </w14:textFill>
        </w:rPr>
        <w:t>其他资料</w:t>
      </w:r>
      <w:r>
        <w:rPr>
          <w:rFonts w:hint="eastAsia" w:ascii="黑体" w:hAnsi="黑体" w:eastAsia="黑体" w:cs="黑体"/>
          <w:b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color w:val="000000" w:themeColor="text1"/>
          <w:sz w:val="32"/>
          <w:szCs w:val="32"/>
          <w:highlight w:val="none"/>
          <w:lang w:val="en-US" w:eastAsia="zh-CN"/>
          <w14:textFill>
            <w14:solidFill>
              <w14:schemeClr w14:val="tx1"/>
            </w14:solidFill>
          </w14:textFill>
        </w:rPr>
        <w:t>盖章）</w:t>
      </w:r>
    </w:p>
    <w:p w14:paraId="255EE484">
      <w:pPr>
        <w:numPr>
          <w:ilvl w:val="0"/>
          <w:numId w:val="0"/>
        </w:numPr>
        <w:ind w:leftChars="0"/>
        <w:jc w:val="both"/>
        <w:rPr>
          <w:rFonts w:hint="eastAsia" w:ascii="黑体" w:hAnsi="黑体" w:eastAsia="黑体" w:cs="黑体"/>
          <w:b w:val="0"/>
          <w:color w:val="000000" w:themeColor="text1"/>
          <w:sz w:val="32"/>
          <w:szCs w:val="32"/>
          <w:highlight w:val="none"/>
          <w14:textFill>
            <w14:solidFill>
              <w14:schemeClr w14:val="tx1"/>
            </w14:solidFill>
          </w14:textFill>
        </w:rPr>
      </w:pPr>
      <w:r>
        <w:rPr>
          <w:rFonts w:hint="eastAsia" w:ascii="黑体" w:hAnsi="黑体" w:eastAsia="黑体" w:cs="黑体"/>
          <w:b w:val="0"/>
          <w:color w:val="000000" w:themeColor="text1"/>
          <w:sz w:val="32"/>
          <w:szCs w:val="32"/>
          <w:highlight w:val="none"/>
          <w14:textFill>
            <w14:solidFill>
              <w14:schemeClr w14:val="tx1"/>
            </w14:solidFill>
          </w14:textFill>
        </w:rPr>
        <w:t>（营业执照</w:t>
      </w:r>
      <w:r>
        <w:rPr>
          <w:rFonts w:hint="eastAsia" w:ascii="黑体" w:hAnsi="黑体" w:eastAsia="黑体" w:cs="黑体"/>
          <w:b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color w:val="000000" w:themeColor="text1"/>
          <w:sz w:val="32"/>
          <w:szCs w:val="32"/>
          <w:highlight w:val="none"/>
          <w:lang w:val="en-US" w:eastAsia="zh-CN"/>
          <w14:textFill>
            <w14:solidFill>
              <w14:schemeClr w14:val="tx1"/>
            </w14:solidFill>
          </w14:textFill>
        </w:rPr>
        <w:t>基本存款账户信</w:t>
      </w:r>
      <w:bookmarkStart w:id="245" w:name="_GoBack"/>
      <w:bookmarkEnd w:id="245"/>
      <w:r>
        <w:rPr>
          <w:rFonts w:hint="eastAsia" w:ascii="黑体" w:hAnsi="黑体" w:eastAsia="黑体" w:cs="黑体"/>
          <w:b w:val="0"/>
          <w:color w:val="000000" w:themeColor="text1"/>
          <w:sz w:val="32"/>
          <w:szCs w:val="32"/>
          <w:highlight w:val="none"/>
          <w:lang w:val="en-US" w:eastAsia="zh-CN"/>
          <w14:textFill>
            <w14:solidFill>
              <w14:schemeClr w14:val="tx1"/>
            </w14:solidFill>
          </w14:textFill>
        </w:rPr>
        <w:t>息、</w:t>
      </w:r>
      <w:r>
        <w:rPr>
          <w:rFonts w:hint="eastAsia" w:ascii="黑体" w:hAnsi="黑体" w:eastAsia="黑体" w:cs="黑体"/>
          <w:b w:val="0"/>
          <w:color w:val="000000" w:themeColor="text1"/>
          <w:sz w:val="32"/>
          <w:szCs w:val="32"/>
          <w:highlight w:val="none"/>
          <w14:textFill>
            <w14:solidFill>
              <w14:schemeClr w14:val="tx1"/>
            </w14:solidFill>
          </w14:textFill>
        </w:rPr>
        <w:t>谈判保证金</w:t>
      </w:r>
      <w:r>
        <w:rPr>
          <w:rFonts w:hint="eastAsia" w:ascii="黑体" w:hAnsi="黑体" w:eastAsia="黑体" w:cs="黑体"/>
          <w:b w:val="0"/>
          <w:color w:val="000000" w:themeColor="text1"/>
          <w:sz w:val="32"/>
          <w:szCs w:val="32"/>
          <w:highlight w:val="none"/>
          <w:lang w:eastAsia="zh-CN"/>
          <w14:textFill>
            <w14:solidFill>
              <w14:schemeClr w14:val="tx1"/>
            </w14:solidFill>
          </w14:textFill>
        </w:rPr>
        <w:t>缴纳</w:t>
      </w:r>
      <w:r>
        <w:rPr>
          <w:rFonts w:hint="eastAsia" w:ascii="黑体" w:hAnsi="黑体" w:eastAsia="黑体" w:cs="黑体"/>
          <w:b w:val="0"/>
          <w:color w:val="000000" w:themeColor="text1"/>
          <w:sz w:val="32"/>
          <w:szCs w:val="32"/>
          <w:highlight w:val="none"/>
          <w14:textFill>
            <w14:solidFill>
              <w14:schemeClr w14:val="tx1"/>
            </w14:solidFill>
          </w14:textFill>
        </w:rPr>
        <w:t>凭证等）</w:t>
      </w:r>
      <w:bookmarkEnd w:id="244"/>
    </w:p>
    <w:p w14:paraId="15F5544E">
      <w:pPr>
        <w:numPr>
          <w:ilvl w:val="0"/>
          <w:numId w:val="0"/>
        </w:numPr>
        <w:ind w:leftChars="0"/>
        <w:jc w:val="both"/>
        <w:rPr>
          <w:rFonts w:hint="default" w:ascii="宋体" w:hAnsi="宋体" w:eastAsia="宋体" w:cs="宋体"/>
          <w:b w:val="0"/>
          <w:color w:val="000000" w:themeColor="text1"/>
          <w:sz w:val="21"/>
          <w:szCs w:val="21"/>
          <w:highlight w:val="none"/>
          <w:lang w:val="en-US" w:eastAsia="zh-CN"/>
          <w14:textFill>
            <w14:solidFill>
              <w14:schemeClr w14:val="tx1"/>
            </w14:solidFill>
          </w14:textFill>
        </w:rPr>
      </w:pPr>
    </w:p>
    <w:bookmarkEnd w:id="237"/>
    <w:bookmarkEnd w:id="238"/>
    <w:bookmarkEnd w:id="239"/>
    <w:bookmarkEnd w:id="240"/>
    <w:bookmarkEnd w:id="241"/>
    <w:bookmarkEnd w:id="242"/>
    <w:p w14:paraId="1A7B31F3">
      <w:pPr>
        <w:ind w:left="0" w:leftChars="0" w:firstLine="0" w:firstLineChars="0"/>
        <w:rPr>
          <w:rFonts w:hint="eastAsia" w:ascii="Times New Roman" w:hAnsi="Times New Roman"/>
          <w:b w:val="0"/>
          <w:color w:val="000000" w:themeColor="text1"/>
          <w:highlight w:val="none"/>
          <w14:textFill>
            <w14:solidFill>
              <w14:schemeClr w14:val="tx1"/>
            </w14:solidFill>
          </w14:textFill>
        </w:rPr>
      </w:pPr>
    </w:p>
    <w:sectPr>
      <w:footerReference r:id="rId13" w:type="default"/>
      <w:footerReference r:id="rId14" w:type="even"/>
      <w:pgSz w:w="11907" w:h="17010"/>
      <w:pgMar w:top="1474" w:right="1474" w:bottom="1247" w:left="1587"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00007A87" w:usb1="80000000" w:usb2="00000008"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7FFAEFF" w:usb1="F9DFFFFF" w:usb2="0000007F" w:usb3="00000000" w:csb0="203F01FF" w:csb1="DFFF0000"/>
  </w:font>
  <w:font w:name="EU-F1">
    <w:altName w:val="宋体"/>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B872">
    <w:pPr>
      <w:pStyle w:val="31"/>
      <w:ind w:firstLine="360"/>
      <w:jc w:val="right"/>
    </w:pPr>
  </w:p>
  <w:p w14:paraId="3DE1CC1A">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085D">
    <w:pPr>
      <w:pStyle w:val="31"/>
      <w:ind w:firstLine="360"/>
      <w:jc w:val="right"/>
    </w:pPr>
  </w:p>
  <w:p w14:paraId="5F048BA6">
    <w:pPr>
      <w:pStyle w:val="31"/>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325F">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0E8A">
    <w:pPr>
      <w:pStyle w:val="31"/>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634250">
                          <w:pPr>
                            <w:pStyle w:val="31"/>
                            <w:ind w:firstLine="0" w:firstLineChars="0"/>
                            <w:rPr>
                              <w:rStyle w:val="53"/>
                              <w:sz w:val="24"/>
                              <w:szCs w:val="24"/>
                            </w:rPr>
                          </w:pPr>
                          <w:r>
                            <w:rPr>
                              <w:rStyle w:val="53"/>
                              <w:sz w:val="24"/>
                              <w:szCs w:val="24"/>
                            </w:rPr>
                            <w:t xml:space="preserve">— </w:t>
                          </w:r>
                          <w:r>
                            <w:rPr>
                              <w:rStyle w:val="53"/>
                              <w:sz w:val="24"/>
                              <w:szCs w:val="24"/>
                            </w:rPr>
                            <w:fldChar w:fldCharType="begin"/>
                          </w:r>
                          <w:r>
                            <w:rPr>
                              <w:rStyle w:val="53"/>
                              <w:sz w:val="24"/>
                              <w:szCs w:val="24"/>
                            </w:rPr>
                            <w:instrText xml:space="preserve"> PAGE  \* MERGEFORMAT </w:instrText>
                          </w:r>
                          <w:r>
                            <w:rPr>
                              <w:rStyle w:val="53"/>
                              <w:sz w:val="24"/>
                              <w:szCs w:val="24"/>
                            </w:rPr>
                            <w:fldChar w:fldCharType="separate"/>
                          </w:r>
                          <w:r>
                            <w:rPr>
                              <w:rStyle w:val="53"/>
                              <w:sz w:val="24"/>
                              <w:szCs w:val="24"/>
                            </w:rPr>
                            <w:t>16</w:t>
                          </w:r>
                          <w:r>
                            <w:rPr>
                              <w:rStyle w:val="53"/>
                              <w:sz w:val="24"/>
                              <w:szCs w:val="24"/>
                            </w:rPr>
                            <w:fldChar w:fldCharType="end"/>
                          </w:r>
                          <w:r>
                            <w:rPr>
                              <w:rStyle w:val="53"/>
                              <w:sz w:val="24"/>
                              <w:szCs w:val="24"/>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AP1c0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G86csPTgl+/fLj9+XX5+Zc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GAP1c0BAACnAwAADgAAAAAAAAABACAAAAAeAQAAZHJzL2Uy&#10;b0RvYy54bWxQSwUGAAAAAAYABgBZAQAAXQUAAAAA&#10;">
              <v:fill on="f" focussize="0,0"/>
              <v:stroke on="f"/>
              <v:imagedata o:title=""/>
              <o:lock v:ext="edit" aspectratio="f"/>
              <v:textbox inset="0mm,0mm,0mm,0mm" style="mso-fit-shape-to-text:t;">
                <w:txbxContent>
                  <w:p w14:paraId="3E634250">
                    <w:pPr>
                      <w:pStyle w:val="31"/>
                      <w:ind w:firstLine="0" w:firstLineChars="0"/>
                      <w:rPr>
                        <w:rStyle w:val="53"/>
                        <w:sz w:val="24"/>
                        <w:szCs w:val="24"/>
                      </w:rPr>
                    </w:pPr>
                    <w:r>
                      <w:rPr>
                        <w:rStyle w:val="53"/>
                        <w:sz w:val="24"/>
                        <w:szCs w:val="24"/>
                      </w:rPr>
                      <w:t xml:space="preserve">— </w:t>
                    </w:r>
                    <w:r>
                      <w:rPr>
                        <w:rStyle w:val="53"/>
                        <w:sz w:val="24"/>
                        <w:szCs w:val="24"/>
                      </w:rPr>
                      <w:fldChar w:fldCharType="begin"/>
                    </w:r>
                    <w:r>
                      <w:rPr>
                        <w:rStyle w:val="53"/>
                        <w:sz w:val="24"/>
                        <w:szCs w:val="24"/>
                      </w:rPr>
                      <w:instrText xml:space="preserve"> PAGE  \* MERGEFORMAT </w:instrText>
                    </w:r>
                    <w:r>
                      <w:rPr>
                        <w:rStyle w:val="53"/>
                        <w:sz w:val="24"/>
                        <w:szCs w:val="24"/>
                      </w:rPr>
                      <w:fldChar w:fldCharType="separate"/>
                    </w:r>
                    <w:r>
                      <w:rPr>
                        <w:rStyle w:val="53"/>
                        <w:sz w:val="24"/>
                        <w:szCs w:val="24"/>
                      </w:rPr>
                      <w:t>16</w:t>
                    </w:r>
                    <w:r>
                      <w:rPr>
                        <w:rStyle w:val="53"/>
                        <w:sz w:val="24"/>
                        <w:szCs w:val="24"/>
                      </w:rPr>
                      <w:fldChar w:fldCharType="end"/>
                    </w:r>
                    <w:r>
                      <w:rPr>
                        <w:rStyle w:val="53"/>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D064">
    <w:pPr>
      <w:pStyle w:val="3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1BC0B2">
                          <w:pPr>
                            <w:pStyle w:val="31"/>
                            <w:ind w:firstLine="48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33</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m8S80BAACnAwAADgAAAGRycy9lMm9Eb2MueG1srVPNjtMwEL4j8Q6W&#10;7zRph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UnMbuhKWBX75/u/z4dfn5lb1O&#10;8vQeK6p68FQXhzsYaGnmOFIwsR7aYNOX+DDKk7jnq7hqiEymS+vVel1SSlJudgi/eLzuA8a3CixL&#10;Rs0DTS+LKk7vMY6lc0l6zcG9NiZP0Li/AoQ5RlRegel2YjJ2nKw47IeJ3h6aM7HraQ1q7mjrOTPv&#10;HKmcNmY2wmzsZ+Pogz501Ogyd4n+9hippdxpemGEJYbJofllrtOupQX5089Vj//X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vm8S80BAACnAwAADgAAAAAAAAABACAAAAAeAQAAZHJzL2Uy&#10;b0RvYy54bWxQSwUGAAAAAAYABgBZAQAAXQUAAAAA&#10;">
              <v:fill on="f" focussize="0,0"/>
              <v:stroke on="f"/>
              <v:imagedata o:title=""/>
              <o:lock v:ext="edit" aspectratio="f"/>
              <v:textbox inset="0mm,0mm,0mm,0mm" style="mso-fit-shape-to-text:t;">
                <w:txbxContent>
                  <w:p w14:paraId="4A1BC0B2">
                    <w:pPr>
                      <w:pStyle w:val="31"/>
                      <w:ind w:firstLine="48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33</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DCB8">
    <w:pPr>
      <w:pStyle w:val="31"/>
      <w:ind w:firstLine="36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5B4996">
                          <w:pPr>
                            <w:pStyle w:val="31"/>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kHLTOAQAAqAMAAA4AAAAAAAAAAQAgAAAAHgEAAGRycy9l&#10;Mm9Eb2MueG1sUEsFBgAAAAAGAAYAWQEAAF4FAAAAAA==&#10;">
              <v:fill on="f" focussize="0,0"/>
              <v:stroke on="f"/>
              <v:imagedata o:title=""/>
              <o:lock v:ext="edit" aspectratio="f"/>
              <v:textbox inset="0mm,0mm,0mm,0mm" style="mso-fit-shape-to-text:t;">
                <w:txbxContent>
                  <w:p w14:paraId="4B5B4996">
                    <w:pPr>
                      <w:pStyle w:val="31"/>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6DA4">
    <w:pPr>
      <w:pStyle w:val="3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E26A">
    <w:pPr>
      <w:pStyle w:val="32"/>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C236">
    <w:pPr>
      <w:pStyle w:val="3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0068">
    <w:pPr>
      <w:pStyle w:val="32"/>
      <w:pBdr>
        <w:bottom w:val="none" w:color="auto" w:sz="0" w:space="0"/>
      </w:pBdr>
      <w:ind w:firstLine="360"/>
    </w:pPr>
  </w:p>
  <w:p w14:paraId="616F82C6">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6165"/>
    <w:multiLevelType w:val="singleLevel"/>
    <w:tmpl w:val="83446165"/>
    <w:lvl w:ilvl="0" w:tentative="0">
      <w:start w:val="1"/>
      <w:numFmt w:val="decimal"/>
      <w:suff w:val="nothing"/>
      <w:lvlText w:val="%1．"/>
      <w:lvlJc w:val="left"/>
      <w:pPr>
        <w:ind w:left="0" w:firstLine="400"/>
      </w:pPr>
      <w:rPr>
        <w:rFonts w:hint="default"/>
      </w:rPr>
    </w:lvl>
  </w:abstractNum>
  <w:abstractNum w:abstractNumId="1">
    <w:nsid w:val="B2BA9EDF"/>
    <w:multiLevelType w:val="singleLevel"/>
    <w:tmpl w:val="B2BA9EDF"/>
    <w:lvl w:ilvl="0" w:tentative="0">
      <w:start w:val="1"/>
      <w:numFmt w:val="chineseCounting"/>
      <w:suff w:val="nothing"/>
      <w:lvlText w:val="%1、"/>
      <w:lvlJc w:val="left"/>
      <w:rPr>
        <w:rFonts w:hint="eastAsia"/>
      </w:rPr>
    </w:lvl>
  </w:abstractNum>
  <w:abstractNum w:abstractNumId="2">
    <w:nsid w:val="F1ACB3AA"/>
    <w:multiLevelType w:val="singleLevel"/>
    <w:tmpl w:val="F1ACB3AA"/>
    <w:lvl w:ilvl="0" w:tentative="0">
      <w:start w:val="1"/>
      <w:numFmt w:val="decimal"/>
      <w:lvlText w:val="%1."/>
      <w:lvlJc w:val="left"/>
      <w:pPr>
        <w:ind w:left="425" w:hanging="425"/>
      </w:pPr>
      <w:rPr>
        <w:rFonts w:hint="default"/>
      </w:rPr>
    </w:lvl>
  </w:abstractNum>
  <w:abstractNum w:abstractNumId="3">
    <w:nsid w:val="13CCEB71"/>
    <w:multiLevelType w:val="singleLevel"/>
    <w:tmpl w:val="13CCEB71"/>
    <w:lvl w:ilvl="0" w:tentative="0">
      <w:start w:val="7"/>
      <w:numFmt w:val="chineseCounting"/>
      <w:suff w:val="nothing"/>
      <w:lvlText w:val="%1、"/>
      <w:lvlJc w:val="left"/>
      <w:rPr>
        <w:rFonts w:hint="eastAsia"/>
      </w:rPr>
    </w:lvl>
  </w:abstractNum>
  <w:abstractNum w:abstractNumId="4">
    <w:nsid w:val="3254E95F"/>
    <w:multiLevelType w:val="singleLevel"/>
    <w:tmpl w:val="3254E95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5">
    <w:nsid w:val="7A7404F7"/>
    <w:multiLevelType w:val="multilevel"/>
    <w:tmpl w:val="7A7404F7"/>
    <w:lvl w:ilvl="0" w:tentative="0">
      <w:start w:val="5"/>
      <w:numFmt w:val="japaneseCounting"/>
      <w:pStyle w:val="20"/>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TExZGQzYThiNjY3ODcxN2YwYmE2MmU4MDljZmQifQ=="/>
  </w:docVars>
  <w:rsids>
    <w:rsidRoot w:val="001F5DFC"/>
    <w:rsid w:val="00006462"/>
    <w:rsid w:val="00006D68"/>
    <w:rsid w:val="00007766"/>
    <w:rsid w:val="00014DC4"/>
    <w:rsid w:val="00014DFD"/>
    <w:rsid w:val="0002247A"/>
    <w:rsid w:val="000260CC"/>
    <w:rsid w:val="00027B7C"/>
    <w:rsid w:val="00041D92"/>
    <w:rsid w:val="00043ED2"/>
    <w:rsid w:val="000461E2"/>
    <w:rsid w:val="00047E4F"/>
    <w:rsid w:val="00047F74"/>
    <w:rsid w:val="00051006"/>
    <w:rsid w:val="00051BEF"/>
    <w:rsid w:val="00052819"/>
    <w:rsid w:val="000541D1"/>
    <w:rsid w:val="000551B4"/>
    <w:rsid w:val="000557D1"/>
    <w:rsid w:val="00056ED8"/>
    <w:rsid w:val="00070788"/>
    <w:rsid w:val="00073D95"/>
    <w:rsid w:val="00074AD8"/>
    <w:rsid w:val="00074C7D"/>
    <w:rsid w:val="00076BE2"/>
    <w:rsid w:val="0007710F"/>
    <w:rsid w:val="000803B0"/>
    <w:rsid w:val="00083600"/>
    <w:rsid w:val="0008391E"/>
    <w:rsid w:val="0009044C"/>
    <w:rsid w:val="000935DF"/>
    <w:rsid w:val="00093FB2"/>
    <w:rsid w:val="000951CF"/>
    <w:rsid w:val="000A056F"/>
    <w:rsid w:val="000A5067"/>
    <w:rsid w:val="000A7F6D"/>
    <w:rsid w:val="000B0D1B"/>
    <w:rsid w:val="000C5D40"/>
    <w:rsid w:val="000C75C3"/>
    <w:rsid w:val="000D16A8"/>
    <w:rsid w:val="000D262D"/>
    <w:rsid w:val="000D2B20"/>
    <w:rsid w:val="000D2FC8"/>
    <w:rsid w:val="000E0A40"/>
    <w:rsid w:val="000E242C"/>
    <w:rsid w:val="000E7713"/>
    <w:rsid w:val="000F12BB"/>
    <w:rsid w:val="000F1BB0"/>
    <w:rsid w:val="000F23DE"/>
    <w:rsid w:val="000F2EFC"/>
    <w:rsid w:val="000F3270"/>
    <w:rsid w:val="000F49AD"/>
    <w:rsid w:val="000F551D"/>
    <w:rsid w:val="000F5574"/>
    <w:rsid w:val="001001BA"/>
    <w:rsid w:val="00103BB6"/>
    <w:rsid w:val="0011406C"/>
    <w:rsid w:val="0011684E"/>
    <w:rsid w:val="00117456"/>
    <w:rsid w:val="00117FCF"/>
    <w:rsid w:val="001244E0"/>
    <w:rsid w:val="001269C0"/>
    <w:rsid w:val="001304D0"/>
    <w:rsid w:val="00131974"/>
    <w:rsid w:val="00132132"/>
    <w:rsid w:val="00132E3C"/>
    <w:rsid w:val="00133387"/>
    <w:rsid w:val="001352DC"/>
    <w:rsid w:val="00136908"/>
    <w:rsid w:val="00144530"/>
    <w:rsid w:val="00144828"/>
    <w:rsid w:val="00151FE8"/>
    <w:rsid w:val="00152A8E"/>
    <w:rsid w:val="0015332C"/>
    <w:rsid w:val="001543FF"/>
    <w:rsid w:val="00163014"/>
    <w:rsid w:val="00163B44"/>
    <w:rsid w:val="00163C39"/>
    <w:rsid w:val="0016461B"/>
    <w:rsid w:val="0016676D"/>
    <w:rsid w:val="00166F8A"/>
    <w:rsid w:val="0017101F"/>
    <w:rsid w:val="00172A97"/>
    <w:rsid w:val="00175417"/>
    <w:rsid w:val="0018058D"/>
    <w:rsid w:val="00182982"/>
    <w:rsid w:val="00192C74"/>
    <w:rsid w:val="001957F8"/>
    <w:rsid w:val="001A1116"/>
    <w:rsid w:val="001A2618"/>
    <w:rsid w:val="001A28CB"/>
    <w:rsid w:val="001A61BB"/>
    <w:rsid w:val="001A67DA"/>
    <w:rsid w:val="001A7B3E"/>
    <w:rsid w:val="001B1746"/>
    <w:rsid w:val="001B223C"/>
    <w:rsid w:val="001B4B40"/>
    <w:rsid w:val="001B5793"/>
    <w:rsid w:val="001B63C0"/>
    <w:rsid w:val="001C1C98"/>
    <w:rsid w:val="001C31E3"/>
    <w:rsid w:val="001C6ABE"/>
    <w:rsid w:val="001D1468"/>
    <w:rsid w:val="001D7DB3"/>
    <w:rsid w:val="001E0B87"/>
    <w:rsid w:val="001E1517"/>
    <w:rsid w:val="001E289B"/>
    <w:rsid w:val="001E2F72"/>
    <w:rsid w:val="001E4A13"/>
    <w:rsid w:val="001F5DFC"/>
    <w:rsid w:val="001F7042"/>
    <w:rsid w:val="0020080E"/>
    <w:rsid w:val="00204075"/>
    <w:rsid w:val="0020478E"/>
    <w:rsid w:val="00204CC3"/>
    <w:rsid w:val="00206DE5"/>
    <w:rsid w:val="00207366"/>
    <w:rsid w:val="00207802"/>
    <w:rsid w:val="002150E2"/>
    <w:rsid w:val="00221DBB"/>
    <w:rsid w:val="002235CA"/>
    <w:rsid w:val="00223BB5"/>
    <w:rsid w:val="00223FBC"/>
    <w:rsid w:val="00225264"/>
    <w:rsid w:val="00225827"/>
    <w:rsid w:val="002277BD"/>
    <w:rsid w:val="0023618C"/>
    <w:rsid w:val="00236EE5"/>
    <w:rsid w:val="00240015"/>
    <w:rsid w:val="00243994"/>
    <w:rsid w:val="00243A63"/>
    <w:rsid w:val="00244E9B"/>
    <w:rsid w:val="002530DB"/>
    <w:rsid w:val="0025334B"/>
    <w:rsid w:val="00254137"/>
    <w:rsid w:val="00254166"/>
    <w:rsid w:val="002621A4"/>
    <w:rsid w:val="00263E5D"/>
    <w:rsid w:val="00264F2E"/>
    <w:rsid w:val="002657A4"/>
    <w:rsid w:val="00266A46"/>
    <w:rsid w:val="002679A8"/>
    <w:rsid w:val="00276B89"/>
    <w:rsid w:val="00277512"/>
    <w:rsid w:val="00280BBA"/>
    <w:rsid w:val="0028146F"/>
    <w:rsid w:val="00281A95"/>
    <w:rsid w:val="00282B4E"/>
    <w:rsid w:val="00285860"/>
    <w:rsid w:val="002866D9"/>
    <w:rsid w:val="00291395"/>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2104"/>
    <w:rsid w:val="002C2790"/>
    <w:rsid w:val="002C52E8"/>
    <w:rsid w:val="002D0602"/>
    <w:rsid w:val="002D0FB0"/>
    <w:rsid w:val="002D45CF"/>
    <w:rsid w:val="002E02A2"/>
    <w:rsid w:val="002E0E66"/>
    <w:rsid w:val="002E2CF6"/>
    <w:rsid w:val="002E41F2"/>
    <w:rsid w:val="002E7945"/>
    <w:rsid w:val="002F00BD"/>
    <w:rsid w:val="002F066A"/>
    <w:rsid w:val="002F54BA"/>
    <w:rsid w:val="002F6BB2"/>
    <w:rsid w:val="002F71A7"/>
    <w:rsid w:val="00300389"/>
    <w:rsid w:val="003035EF"/>
    <w:rsid w:val="00305943"/>
    <w:rsid w:val="00310173"/>
    <w:rsid w:val="00312A45"/>
    <w:rsid w:val="0031380D"/>
    <w:rsid w:val="00315BCC"/>
    <w:rsid w:val="003225D8"/>
    <w:rsid w:val="00324815"/>
    <w:rsid w:val="003308F2"/>
    <w:rsid w:val="00333180"/>
    <w:rsid w:val="00335CB0"/>
    <w:rsid w:val="00336D49"/>
    <w:rsid w:val="003377B5"/>
    <w:rsid w:val="00340054"/>
    <w:rsid w:val="00344D07"/>
    <w:rsid w:val="003459E5"/>
    <w:rsid w:val="00347AE3"/>
    <w:rsid w:val="00351B0D"/>
    <w:rsid w:val="00354D36"/>
    <w:rsid w:val="00360113"/>
    <w:rsid w:val="00363CA5"/>
    <w:rsid w:val="00364237"/>
    <w:rsid w:val="00364B3F"/>
    <w:rsid w:val="003661A4"/>
    <w:rsid w:val="00374939"/>
    <w:rsid w:val="00377DF0"/>
    <w:rsid w:val="00386AF9"/>
    <w:rsid w:val="003920E9"/>
    <w:rsid w:val="00393A41"/>
    <w:rsid w:val="003958E6"/>
    <w:rsid w:val="00395DE9"/>
    <w:rsid w:val="0039679C"/>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468C"/>
    <w:rsid w:val="003C7191"/>
    <w:rsid w:val="003D0330"/>
    <w:rsid w:val="003D1C36"/>
    <w:rsid w:val="003D2128"/>
    <w:rsid w:val="003D60EB"/>
    <w:rsid w:val="003E4A39"/>
    <w:rsid w:val="003F5B16"/>
    <w:rsid w:val="003F7521"/>
    <w:rsid w:val="003F7778"/>
    <w:rsid w:val="004009AC"/>
    <w:rsid w:val="00403BED"/>
    <w:rsid w:val="00404B1C"/>
    <w:rsid w:val="00411357"/>
    <w:rsid w:val="0041225F"/>
    <w:rsid w:val="00413564"/>
    <w:rsid w:val="00415EDB"/>
    <w:rsid w:val="00417DB9"/>
    <w:rsid w:val="00421642"/>
    <w:rsid w:val="004235F3"/>
    <w:rsid w:val="00426FF0"/>
    <w:rsid w:val="00430C64"/>
    <w:rsid w:val="0043181A"/>
    <w:rsid w:val="00431A67"/>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710E6"/>
    <w:rsid w:val="00471851"/>
    <w:rsid w:val="004751F8"/>
    <w:rsid w:val="004760B7"/>
    <w:rsid w:val="00482A0D"/>
    <w:rsid w:val="004858EA"/>
    <w:rsid w:val="00487CDE"/>
    <w:rsid w:val="0049180C"/>
    <w:rsid w:val="00492AD4"/>
    <w:rsid w:val="004946E0"/>
    <w:rsid w:val="004957D7"/>
    <w:rsid w:val="004A0904"/>
    <w:rsid w:val="004A60DF"/>
    <w:rsid w:val="004A6332"/>
    <w:rsid w:val="004B0C03"/>
    <w:rsid w:val="004B37C9"/>
    <w:rsid w:val="004B6066"/>
    <w:rsid w:val="004B70A1"/>
    <w:rsid w:val="004B713E"/>
    <w:rsid w:val="004C1F22"/>
    <w:rsid w:val="004C47E7"/>
    <w:rsid w:val="004C7CE2"/>
    <w:rsid w:val="004D0F52"/>
    <w:rsid w:val="004D387F"/>
    <w:rsid w:val="004D752E"/>
    <w:rsid w:val="004E0615"/>
    <w:rsid w:val="004E297F"/>
    <w:rsid w:val="004F001D"/>
    <w:rsid w:val="004F08E2"/>
    <w:rsid w:val="004F4725"/>
    <w:rsid w:val="004F50B7"/>
    <w:rsid w:val="004F5949"/>
    <w:rsid w:val="004F5EE5"/>
    <w:rsid w:val="004F7911"/>
    <w:rsid w:val="0050095F"/>
    <w:rsid w:val="00501CC7"/>
    <w:rsid w:val="005027D9"/>
    <w:rsid w:val="00503D78"/>
    <w:rsid w:val="005051E5"/>
    <w:rsid w:val="00507F61"/>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9507D"/>
    <w:rsid w:val="005A16DB"/>
    <w:rsid w:val="005A2640"/>
    <w:rsid w:val="005A32FA"/>
    <w:rsid w:val="005A4CEC"/>
    <w:rsid w:val="005A68D5"/>
    <w:rsid w:val="005A7180"/>
    <w:rsid w:val="005B358E"/>
    <w:rsid w:val="005B4572"/>
    <w:rsid w:val="005B494F"/>
    <w:rsid w:val="005B4E05"/>
    <w:rsid w:val="005B4E0C"/>
    <w:rsid w:val="005B65B2"/>
    <w:rsid w:val="005B7D13"/>
    <w:rsid w:val="005B7E93"/>
    <w:rsid w:val="005C4799"/>
    <w:rsid w:val="005C4D29"/>
    <w:rsid w:val="005C7082"/>
    <w:rsid w:val="005D2A0E"/>
    <w:rsid w:val="005D2C0E"/>
    <w:rsid w:val="005D4121"/>
    <w:rsid w:val="005D49E7"/>
    <w:rsid w:val="005D5539"/>
    <w:rsid w:val="005D5ADD"/>
    <w:rsid w:val="005D5B25"/>
    <w:rsid w:val="005D6A68"/>
    <w:rsid w:val="005E0AA6"/>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1696A"/>
    <w:rsid w:val="0062060A"/>
    <w:rsid w:val="00623E71"/>
    <w:rsid w:val="00627439"/>
    <w:rsid w:val="00635E23"/>
    <w:rsid w:val="00636F3D"/>
    <w:rsid w:val="00637503"/>
    <w:rsid w:val="006409FD"/>
    <w:rsid w:val="00642156"/>
    <w:rsid w:val="0064264E"/>
    <w:rsid w:val="00643659"/>
    <w:rsid w:val="0064498F"/>
    <w:rsid w:val="00647BB3"/>
    <w:rsid w:val="006522A4"/>
    <w:rsid w:val="006522E5"/>
    <w:rsid w:val="00661709"/>
    <w:rsid w:val="00665E7C"/>
    <w:rsid w:val="0067112F"/>
    <w:rsid w:val="00675AA9"/>
    <w:rsid w:val="00681408"/>
    <w:rsid w:val="00681EC1"/>
    <w:rsid w:val="00682E5B"/>
    <w:rsid w:val="00683279"/>
    <w:rsid w:val="006856AE"/>
    <w:rsid w:val="006869A6"/>
    <w:rsid w:val="00687871"/>
    <w:rsid w:val="00695414"/>
    <w:rsid w:val="006A303E"/>
    <w:rsid w:val="006A6044"/>
    <w:rsid w:val="006A6D92"/>
    <w:rsid w:val="006B0440"/>
    <w:rsid w:val="006B0529"/>
    <w:rsid w:val="006B3925"/>
    <w:rsid w:val="006B3D41"/>
    <w:rsid w:val="006B5C28"/>
    <w:rsid w:val="006B7E44"/>
    <w:rsid w:val="006C58D6"/>
    <w:rsid w:val="006C68DA"/>
    <w:rsid w:val="006C718C"/>
    <w:rsid w:val="006D021F"/>
    <w:rsid w:val="006D0551"/>
    <w:rsid w:val="006D0A74"/>
    <w:rsid w:val="006D2C2C"/>
    <w:rsid w:val="006D4612"/>
    <w:rsid w:val="006D4ED8"/>
    <w:rsid w:val="006D6F09"/>
    <w:rsid w:val="006E2CBA"/>
    <w:rsid w:val="006E629A"/>
    <w:rsid w:val="006E65EC"/>
    <w:rsid w:val="006E6EB0"/>
    <w:rsid w:val="006F11D9"/>
    <w:rsid w:val="00707268"/>
    <w:rsid w:val="00710F2F"/>
    <w:rsid w:val="007113B0"/>
    <w:rsid w:val="00712587"/>
    <w:rsid w:val="00713E1E"/>
    <w:rsid w:val="0071757D"/>
    <w:rsid w:val="0072110E"/>
    <w:rsid w:val="0072272C"/>
    <w:rsid w:val="0072413F"/>
    <w:rsid w:val="00725A47"/>
    <w:rsid w:val="0073176C"/>
    <w:rsid w:val="00732CAC"/>
    <w:rsid w:val="00733C04"/>
    <w:rsid w:val="007352AB"/>
    <w:rsid w:val="00735F73"/>
    <w:rsid w:val="00736D64"/>
    <w:rsid w:val="00737175"/>
    <w:rsid w:val="00747CED"/>
    <w:rsid w:val="00750198"/>
    <w:rsid w:val="00754789"/>
    <w:rsid w:val="00757802"/>
    <w:rsid w:val="00764188"/>
    <w:rsid w:val="00767640"/>
    <w:rsid w:val="00777FBF"/>
    <w:rsid w:val="00785921"/>
    <w:rsid w:val="00790D48"/>
    <w:rsid w:val="007912EE"/>
    <w:rsid w:val="00791D7C"/>
    <w:rsid w:val="00796AC3"/>
    <w:rsid w:val="00796D43"/>
    <w:rsid w:val="007A0E41"/>
    <w:rsid w:val="007A0E97"/>
    <w:rsid w:val="007A2FFD"/>
    <w:rsid w:val="007A4159"/>
    <w:rsid w:val="007A64E0"/>
    <w:rsid w:val="007B4EAF"/>
    <w:rsid w:val="007B532B"/>
    <w:rsid w:val="007B554E"/>
    <w:rsid w:val="007B6757"/>
    <w:rsid w:val="007B7E68"/>
    <w:rsid w:val="007C296C"/>
    <w:rsid w:val="007C4D34"/>
    <w:rsid w:val="007C531B"/>
    <w:rsid w:val="007C5E20"/>
    <w:rsid w:val="007C7741"/>
    <w:rsid w:val="007D1A45"/>
    <w:rsid w:val="007D2FA1"/>
    <w:rsid w:val="007D4EE3"/>
    <w:rsid w:val="007D69E0"/>
    <w:rsid w:val="007D7BDD"/>
    <w:rsid w:val="007E32C3"/>
    <w:rsid w:val="007E73B3"/>
    <w:rsid w:val="007F033D"/>
    <w:rsid w:val="007F1DA9"/>
    <w:rsid w:val="007F44F1"/>
    <w:rsid w:val="007F4C12"/>
    <w:rsid w:val="007F58A5"/>
    <w:rsid w:val="007F6285"/>
    <w:rsid w:val="007F6312"/>
    <w:rsid w:val="007F69B9"/>
    <w:rsid w:val="007F759F"/>
    <w:rsid w:val="00807761"/>
    <w:rsid w:val="008104A5"/>
    <w:rsid w:val="0081124B"/>
    <w:rsid w:val="00814528"/>
    <w:rsid w:val="00814B17"/>
    <w:rsid w:val="008177CB"/>
    <w:rsid w:val="0082250B"/>
    <w:rsid w:val="008227DC"/>
    <w:rsid w:val="00822FDE"/>
    <w:rsid w:val="00823A72"/>
    <w:rsid w:val="0082706F"/>
    <w:rsid w:val="0082775C"/>
    <w:rsid w:val="00827C30"/>
    <w:rsid w:val="00832AAA"/>
    <w:rsid w:val="00832EE3"/>
    <w:rsid w:val="0083715D"/>
    <w:rsid w:val="008405AE"/>
    <w:rsid w:val="00841804"/>
    <w:rsid w:val="0084279B"/>
    <w:rsid w:val="008458F2"/>
    <w:rsid w:val="008467FA"/>
    <w:rsid w:val="008475A5"/>
    <w:rsid w:val="00847A01"/>
    <w:rsid w:val="00847A6E"/>
    <w:rsid w:val="008577C9"/>
    <w:rsid w:val="00861993"/>
    <w:rsid w:val="00870C8D"/>
    <w:rsid w:val="00872421"/>
    <w:rsid w:val="00872EA0"/>
    <w:rsid w:val="0087425A"/>
    <w:rsid w:val="00881D37"/>
    <w:rsid w:val="008830D2"/>
    <w:rsid w:val="00885443"/>
    <w:rsid w:val="008856BD"/>
    <w:rsid w:val="00885CB7"/>
    <w:rsid w:val="00891DDA"/>
    <w:rsid w:val="00892925"/>
    <w:rsid w:val="008929D7"/>
    <w:rsid w:val="0089340E"/>
    <w:rsid w:val="00895F74"/>
    <w:rsid w:val="00897D72"/>
    <w:rsid w:val="008A695B"/>
    <w:rsid w:val="008A7FC3"/>
    <w:rsid w:val="008B5B78"/>
    <w:rsid w:val="008B6085"/>
    <w:rsid w:val="008B72E4"/>
    <w:rsid w:val="008B73AB"/>
    <w:rsid w:val="008C078F"/>
    <w:rsid w:val="008C20F6"/>
    <w:rsid w:val="008C7677"/>
    <w:rsid w:val="008D514C"/>
    <w:rsid w:val="008D668D"/>
    <w:rsid w:val="008D6A37"/>
    <w:rsid w:val="008D7F2B"/>
    <w:rsid w:val="008E0AFB"/>
    <w:rsid w:val="008E1FA1"/>
    <w:rsid w:val="008E2F24"/>
    <w:rsid w:val="008E34C8"/>
    <w:rsid w:val="008E3F8C"/>
    <w:rsid w:val="008E49A4"/>
    <w:rsid w:val="008E7525"/>
    <w:rsid w:val="008F542D"/>
    <w:rsid w:val="008F78C3"/>
    <w:rsid w:val="00903BF8"/>
    <w:rsid w:val="009060FB"/>
    <w:rsid w:val="009074E9"/>
    <w:rsid w:val="00910D36"/>
    <w:rsid w:val="00912778"/>
    <w:rsid w:val="00913005"/>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5DA5"/>
    <w:rsid w:val="00946A05"/>
    <w:rsid w:val="00946DE0"/>
    <w:rsid w:val="009504A5"/>
    <w:rsid w:val="0095335B"/>
    <w:rsid w:val="0095382B"/>
    <w:rsid w:val="0095405A"/>
    <w:rsid w:val="00954E69"/>
    <w:rsid w:val="00955670"/>
    <w:rsid w:val="009620BF"/>
    <w:rsid w:val="00962A24"/>
    <w:rsid w:val="009634D9"/>
    <w:rsid w:val="00963DAD"/>
    <w:rsid w:val="009640AA"/>
    <w:rsid w:val="009726DB"/>
    <w:rsid w:val="00972F72"/>
    <w:rsid w:val="00974579"/>
    <w:rsid w:val="00976542"/>
    <w:rsid w:val="00983247"/>
    <w:rsid w:val="00984EFB"/>
    <w:rsid w:val="00985C69"/>
    <w:rsid w:val="00985D7F"/>
    <w:rsid w:val="00990174"/>
    <w:rsid w:val="00990EDE"/>
    <w:rsid w:val="009937BE"/>
    <w:rsid w:val="00997F3A"/>
    <w:rsid w:val="009A080E"/>
    <w:rsid w:val="009A1A28"/>
    <w:rsid w:val="009A21E1"/>
    <w:rsid w:val="009A2971"/>
    <w:rsid w:val="009A2D87"/>
    <w:rsid w:val="009A4187"/>
    <w:rsid w:val="009A4DEE"/>
    <w:rsid w:val="009A50A3"/>
    <w:rsid w:val="009A7126"/>
    <w:rsid w:val="009A7488"/>
    <w:rsid w:val="009B0B66"/>
    <w:rsid w:val="009B1F29"/>
    <w:rsid w:val="009B2561"/>
    <w:rsid w:val="009B2DD6"/>
    <w:rsid w:val="009C15CF"/>
    <w:rsid w:val="009C42F0"/>
    <w:rsid w:val="009D23E0"/>
    <w:rsid w:val="009D3F8E"/>
    <w:rsid w:val="009D4443"/>
    <w:rsid w:val="009D6777"/>
    <w:rsid w:val="009E1C67"/>
    <w:rsid w:val="009E222D"/>
    <w:rsid w:val="009E3473"/>
    <w:rsid w:val="009E513C"/>
    <w:rsid w:val="009E5C67"/>
    <w:rsid w:val="009F005E"/>
    <w:rsid w:val="009F06D6"/>
    <w:rsid w:val="009F1D5B"/>
    <w:rsid w:val="009F7A35"/>
    <w:rsid w:val="00A02021"/>
    <w:rsid w:val="00A02494"/>
    <w:rsid w:val="00A033DE"/>
    <w:rsid w:val="00A03D8A"/>
    <w:rsid w:val="00A14ED4"/>
    <w:rsid w:val="00A1649B"/>
    <w:rsid w:val="00A21466"/>
    <w:rsid w:val="00A2328E"/>
    <w:rsid w:val="00A26234"/>
    <w:rsid w:val="00A26B81"/>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6235"/>
    <w:rsid w:val="00A563B2"/>
    <w:rsid w:val="00A57A42"/>
    <w:rsid w:val="00A60DC6"/>
    <w:rsid w:val="00A6121B"/>
    <w:rsid w:val="00A62FAB"/>
    <w:rsid w:val="00A63722"/>
    <w:rsid w:val="00A6422D"/>
    <w:rsid w:val="00A64886"/>
    <w:rsid w:val="00A668E5"/>
    <w:rsid w:val="00A67B47"/>
    <w:rsid w:val="00A71D6A"/>
    <w:rsid w:val="00A73BCA"/>
    <w:rsid w:val="00A77493"/>
    <w:rsid w:val="00A8501A"/>
    <w:rsid w:val="00A8713F"/>
    <w:rsid w:val="00A87F74"/>
    <w:rsid w:val="00A904A7"/>
    <w:rsid w:val="00A91490"/>
    <w:rsid w:val="00A92BDB"/>
    <w:rsid w:val="00A95047"/>
    <w:rsid w:val="00A951A4"/>
    <w:rsid w:val="00A95AAD"/>
    <w:rsid w:val="00A96F7F"/>
    <w:rsid w:val="00AA0572"/>
    <w:rsid w:val="00AA1377"/>
    <w:rsid w:val="00AA39B5"/>
    <w:rsid w:val="00AA6C6C"/>
    <w:rsid w:val="00AB15CB"/>
    <w:rsid w:val="00AB2EA7"/>
    <w:rsid w:val="00AB59D0"/>
    <w:rsid w:val="00AC0051"/>
    <w:rsid w:val="00AC0E1B"/>
    <w:rsid w:val="00AC16AF"/>
    <w:rsid w:val="00AC2E8B"/>
    <w:rsid w:val="00AC36D0"/>
    <w:rsid w:val="00AD46A1"/>
    <w:rsid w:val="00AD6292"/>
    <w:rsid w:val="00AE4292"/>
    <w:rsid w:val="00AE49FF"/>
    <w:rsid w:val="00AE777C"/>
    <w:rsid w:val="00AF1833"/>
    <w:rsid w:val="00AF3EA9"/>
    <w:rsid w:val="00AF4463"/>
    <w:rsid w:val="00AF47D7"/>
    <w:rsid w:val="00AF51D2"/>
    <w:rsid w:val="00AF538E"/>
    <w:rsid w:val="00B00494"/>
    <w:rsid w:val="00B00748"/>
    <w:rsid w:val="00B0341F"/>
    <w:rsid w:val="00B050EF"/>
    <w:rsid w:val="00B0685F"/>
    <w:rsid w:val="00B07CAE"/>
    <w:rsid w:val="00B128A2"/>
    <w:rsid w:val="00B14B65"/>
    <w:rsid w:val="00B150E4"/>
    <w:rsid w:val="00B1690B"/>
    <w:rsid w:val="00B22A47"/>
    <w:rsid w:val="00B22FB4"/>
    <w:rsid w:val="00B23F24"/>
    <w:rsid w:val="00B32A89"/>
    <w:rsid w:val="00B36955"/>
    <w:rsid w:val="00B40380"/>
    <w:rsid w:val="00B4225E"/>
    <w:rsid w:val="00B45524"/>
    <w:rsid w:val="00B458FA"/>
    <w:rsid w:val="00B4597B"/>
    <w:rsid w:val="00B47276"/>
    <w:rsid w:val="00B50E25"/>
    <w:rsid w:val="00B51626"/>
    <w:rsid w:val="00B51C5A"/>
    <w:rsid w:val="00B55DDB"/>
    <w:rsid w:val="00B61A78"/>
    <w:rsid w:val="00B62D9E"/>
    <w:rsid w:val="00B70726"/>
    <w:rsid w:val="00B708E2"/>
    <w:rsid w:val="00B70DF2"/>
    <w:rsid w:val="00B722CA"/>
    <w:rsid w:val="00B75495"/>
    <w:rsid w:val="00B86211"/>
    <w:rsid w:val="00B86390"/>
    <w:rsid w:val="00B87434"/>
    <w:rsid w:val="00B92E31"/>
    <w:rsid w:val="00B936C1"/>
    <w:rsid w:val="00BA0B22"/>
    <w:rsid w:val="00BA362F"/>
    <w:rsid w:val="00BA3E26"/>
    <w:rsid w:val="00BB0C00"/>
    <w:rsid w:val="00BB16B0"/>
    <w:rsid w:val="00BB32BA"/>
    <w:rsid w:val="00BB4657"/>
    <w:rsid w:val="00BB4A73"/>
    <w:rsid w:val="00BB608F"/>
    <w:rsid w:val="00BC0718"/>
    <w:rsid w:val="00BC10E0"/>
    <w:rsid w:val="00BC484F"/>
    <w:rsid w:val="00BD1070"/>
    <w:rsid w:val="00BD41A4"/>
    <w:rsid w:val="00BD5F69"/>
    <w:rsid w:val="00BD610B"/>
    <w:rsid w:val="00BD6286"/>
    <w:rsid w:val="00BE00E1"/>
    <w:rsid w:val="00BE1568"/>
    <w:rsid w:val="00BE3A00"/>
    <w:rsid w:val="00BE7A60"/>
    <w:rsid w:val="00BF2816"/>
    <w:rsid w:val="00BF3765"/>
    <w:rsid w:val="00C014F1"/>
    <w:rsid w:val="00C03C91"/>
    <w:rsid w:val="00C03F3F"/>
    <w:rsid w:val="00C04E8E"/>
    <w:rsid w:val="00C07749"/>
    <w:rsid w:val="00C07AD1"/>
    <w:rsid w:val="00C217C6"/>
    <w:rsid w:val="00C2190A"/>
    <w:rsid w:val="00C25F33"/>
    <w:rsid w:val="00C27A2F"/>
    <w:rsid w:val="00C336DE"/>
    <w:rsid w:val="00C340B0"/>
    <w:rsid w:val="00C34A89"/>
    <w:rsid w:val="00C37F0B"/>
    <w:rsid w:val="00C432EB"/>
    <w:rsid w:val="00C45192"/>
    <w:rsid w:val="00C46FFA"/>
    <w:rsid w:val="00C572FA"/>
    <w:rsid w:val="00C57E34"/>
    <w:rsid w:val="00C61134"/>
    <w:rsid w:val="00C63012"/>
    <w:rsid w:val="00C647CC"/>
    <w:rsid w:val="00C712B3"/>
    <w:rsid w:val="00C754EF"/>
    <w:rsid w:val="00C7751C"/>
    <w:rsid w:val="00C808EE"/>
    <w:rsid w:val="00C844AF"/>
    <w:rsid w:val="00C8680A"/>
    <w:rsid w:val="00C87063"/>
    <w:rsid w:val="00C87CB0"/>
    <w:rsid w:val="00C9687B"/>
    <w:rsid w:val="00C97E06"/>
    <w:rsid w:val="00CA3D62"/>
    <w:rsid w:val="00CA6D6A"/>
    <w:rsid w:val="00CB5F91"/>
    <w:rsid w:val="00CB7A82"/>
    <w:rsid w:val="00CC04E5"/>
    <w:rsid w:val="00CC5591"/>
    <w:rsid w:val="00CC7405"/>
    <w:rsid w:val="00CD343E"/>
    <w:rsid w:val="00CD4BEB"/>
    <w:rsid w:val="00CD581C"/>
    <w:rsid w:val="00CD68BB"/>
    <w:rsid w:val="00CE4749"/>
    <w:rsid w:val="00CE5534"/>
    <w:rsid w:val="00CE5755"/>
    <w:rsid w:val="00CF1C4B"/>
    <w:rsid w:val="00CF1F94"/>
    <w:rsid w:val="00CF29FD"/>
    <w:rsid w:val="00CF4173"/>
    <w:rsid w:val="00CF6EB6"/>
    <w:rsid w:val="00D00A90"/>
    <w:rsid w:val="00D01A0A"/>
    <w:rsid w:val="00D028F3"/>
    <w:rsid w:val="00D05723"/>
    <w:rsid w:val="00D13E3D"/>
    <w:rsid w:val="00D16EB2"/>
    <w:rsid w:val="00D1735A"/>
    <w:rsid w:val="00D233F1"/>
    <w:rsid w:val="00D23421"/>
    <w:rsid w:val="00D23B2B"/>
    <w:rsid w:val="00D23C0C"/>
    <w:rsid w:val="00D26201"/>
    <w:rsid w:val="00D26800"/>
    <w:rsid w:val="00D300D1"/>
    <w:rsid w:val="00D37CF1"/>
    <w:rsid w:val="00D37F32"/>
    <w:rsid w:val="00D400A4"/>
    <w:rsid w:val="00D51F3C"/>
    <w:rsid w:val="00D60FCB"/>
    <w:rsid w:val="00D65A38"/>
    <w:rsid w:val="00D724A3"/>
    <w:rsid w:val="00D73ACA"/>
    <w:rsid w:val="00D7515C"/>
    <w:rsid w:val="00D81D11"/>
    <w:rsid w:val="00D81DD7"/>
    <w:rsid w:val="00D84754"/>
    <w:rsid w:val="00D851F5"/>
    <w:rsid w:val="00D9256C"/>
    <w:rsid w:val="00D968BE"/>
    <w:rsid w:val="00D96C46"/>
    <w:rsid w:val="00D979E1"/>
    <w:rsid w:val="00DB6CF6"/>
    <w:rsid w:val="00DB6E09"/>
    <w:rsid w:val="00DC2804"/>
    <w:rsid w:val="00DC2AB3"/>
    <w:rsid w:val="00DD0312"/>
    <w:rsid w:val="00DD516D"/>
    <w:rsid w:val="00DD7B5B"/>
    <w:rsid w:val="00DE06DD"/>
    <w:rsid w:val="00DE1268"/>
    <w:rsid w:val="00DE2F44"/>
    <w:rsid w:val="00DE3725"/>
    <w:rsid w:val="00DE3B5E"/>
    <w:rsid w:val="00DF0014"/>
    <w:rsid w:val="00DF14BB"/>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6E21"/>
    <w:rsid w:val="00E20C94"/>
    <w:rsid w:val="00E30BF6"/>
    <w:rsid w:val="00E31077"/>
    <w:rsid w:val="00E333D0"/>
    <w:rsid w:val="00E342C3"/>
    <w:rsid w:val="00E3501C"/>
    <w:rsid w:val="00E4162E"/>
    <w:rsid w:val="00E43E56"/>
    <w:rsid w:val="00E446C5"/>
    <w:rsid w:val="00E47422"/>
    <w:rsid w:val="00E47FC3"/>
    <w:rsid w:val="00E50799"/>
    <w:rsid w:val="00E5206C"/>
    <w:rsid w:val="00E5302A"/>
    <w:rsid w:val="00E55EE0"/>
    <w:rsid w:val="00E60811"/>
    <w:rsid w:val="00E642EE"/>
    <w:rsid w:val="00E67069"/>
    <w:rsid w:val="00E67D33"/>
    <w:rsid w:val="00E72ADF"/>
    <w:rsid w:val="00E73330"/>
    <w:rsid w:val="00E7728B"/>
    <w:rsid w:val="00E773FA"/>
    <w:rsid w:val="00E80F06"/>
    <w:rsid w:val="00E810E0"/>
    <w:rsid w:val="00E82FBE"/>
    <w:rsid w:val="00E83615"/>
    <w:rsid w:val="00E84E17"/>
    <w:rsid w:val="00E91607"/>
    <w:rsid w:val="00E941C0"/>
    <w:rsid w:val="00E95EBA"/>
    <w:rsid w:val="00E963EB"/>
    <w:rsid w:val="00EA7512"/>
    <w:rsid w:val="00EB24A1"/>
    <w:rsid w:val="00EB743B"/>
    <w:rsid w:val="00EC1E3B"/>
    <w:rsid w:val="00ED15FF"/>
    <w:rsid w:val="00ED2A59"/>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FBA"/>
    <w:rsid w:val="00F21BC3"/>
    <w:rsid w:val="00F22BC6"/>
    <w:rsid w:val="00F24549"/>
    <w:rsid w:val="00F2477F"/>
    <w:rsid w:val="00F26457"/>
    <w:rsid w:val="00F26AC1"/>
    <w:rsid w:val="00F27289"/>
    <w:rsid w:val="00F2735B"/>
    <w:rsid w:val="00F326D3"/>
    <w:rsid w:val="00F335B9"/>
    <w:rsid w:val="00F3626E"/>
    <w:rsid w:val="00F3745B"/>
    <w:rsid w:val="00F37A02"/>
    <w:rsid w:val="00F43CEA"/>
    <w:rsid w:val="00F44D3A"/>
    <w:rsid w:val="00F4582A"/>
    <w:rsid w:val="00F47849"/>
    <w:rsid w:val="00F47F26"/>
    <w:rsid w:val="00F5119E"/>
    <w:rsid w:val="00F56BA7"/>
    <w:rsid w:val="00F60042"/>
    <w:rsid w:val="00F61D6C"/>
    <w:rsid w:val="00F65A3D"/>
    <w:rsid w:val="00F6710E"/>
    <w:rsid w:val="00F71203"/>
    <w:rsid w:val="00F730CA"/>
    <w:rsid w:val="00F8012D"/>
    <w:rsid w:val="00F826D7"/>
    <w:rsid w:val="00F84271"/>
    <w:rsid w:val="00F84E1E"/>
    <w:rsid w:val="00F84FDE"/>
    <w:rsid w:val="00F85A3D"/>
    <w:rsid w:val="00F87EB0"/>
    <w:rsid w:val="00F908D6"/>
    <w:rsid w:val="00F92440"/>
    <w:rsid w:val="00F93731"/>
    <w:rsid w:val="00F946C3"/>
    <w:rsid w:val="00F950A6"/>
    <w:rsid w:val="00F957AF"/>
    <w:rsid w:val="00F95A1E"/>
    <w:rsid w:val="00F96AA8"/>
    <w:rsid w:val="00FA00BB"/>
    <w:rsid w:val="00FA0CC3"/>
    <w:rsid w:val="00FA1AED"/>
    <w:rsid w:val="00FA22FA"/>
    <w:rsid w:val="00FA2949"/>
    <w:rsid w:val="00FA2CDB"/>
    <w:rsid w:val="00FA5EAB"/>
    <w:rsid w:val="00FB0117"/>
    <w:rsid w:val="00FB3C18"/>
    <w:rsid w:val="00FB6437"/>
    <w:rsid w:val="00FB6A67"/>
    <w:rsid w:val="00FC6216"/>
    <w:rsid w:val="00FD11B7"/>
    <w:rsid w:val="00FD21F8"/>
    <w:rsid w:val="00FD2AB0"/>
    <w:rsid w:val="00FD460C"/>
    <w:rsid w:val="00FD5E31"/>
    <w:rsid w:val="00FD6573"/>
    <w:rsid w:val="00FD72D0"/>
    <w:rsid w:val="00FE19AC"/>
    <w:rsid w:val="00FE27FA"/>
    <w:rsid w:val="00FE562F"/>
    <w:rsid w:val="00FF0E4B"/>
    <w:rsid w:val="00FF1831"/>
    <w:rsid w:val="00FF3872"/>
    <w:rsid w:val="00FF4145"/>
    <w:rsid w:val="00FF5A39"/>
    <w:rsid w:val="00FF625C"/>
    <w:rsid w:val="010B22B0"/>
    <w:rsid w:val="01315C76"/>
    <w:rsid w:val="013543A2"/>
    <w:rsid w:val="01415CD2"/>
    <w:rsid w:val="014252EF"/>
    <w:rsid w:val="014805DB"/>
    <w:rsid w:val="0156352C"/>
    <w:rsid w:val="01696696"/>
    <w:rsid w:val="017165B7"/>
    <w:rsid w:val="018D0F17"/>
    <w:rsid w:val="01B84F51"/>
    <w:rsid w:val="02217FDE"/>
    <w:rsid w:val="0240291D"/>
    <w:rsid w:val="0262365B"/>
    <w:rsid w:val="02654C5A"/>
    <w:rsid w:val="02723722"/>
    <w:rsid w:val="02785C89"/>
    <w:rsid w:val="028E3199"/>
    <w:rsid w:val="02E80AFB"/>
    <w:rsid w:val="030D40BE"/>
    <w:rsid w:val="031E451D"/>
    <w:rsid w:val="031E62CB"/>
    <w:rsid w:val="03253AFD"/>
    <w:rsid w:val="03345AEF"/>
    <w:rsid w:val="03411FB9"/>
    <w:rsid w:val="03616052"/>
    <w:rsid w:val="036208AE"/>
    <w:rsid w:val="03BB6210"/>
    <w:rsid w:val="03D032AA"/>
    <w:rsid w:val="03D13F17"/>
    <w:rsid w:val="03D2748F"/>
    <w:rsid w:val="03DF7307"/>
    <w:rsid w:val="03E00A2D"/>
    <w:rsid w:val="03EF3054"/>
    <w:rsid w:val="04043713"/>
    <w:rsid w:val="04082AD7"/>
    <w:rsid w:val="040A7F00"/>
    <w:rsid w:val="04123CC2"/>
    <w:rsid w:val="041E48F3"/>
    <w:rsid w:val="04294F27"/>
    <w:rsid w:val="043D4E77"/>
    <w:rsid w:val="04441D61"/>
    <w:rsid w:val="044E7EFA"/>
    <w:rsid w:val="045857D1"/>
    <w:rsid w:val="045D2E23"/>
    <w:rsid w:val="045F303F"/>
    <w:rsid w:val="04612F84"/>
    <w:rsid w:val="048144B3"/>
    <w:rsid w:val="04844854"/>
    <w:rsid w:val="04B769D7"/>
    <w:rsid w:val="04CB54E1"/>
    <w:rsid w:val="04E84DE3"/>
    <w:rsid w:val="04FC263C"/>
    <w:rsid w:val="0520729C"/>
    <w:rsid w:val="052C02FF"/>
    <w:rsid w:val="053A2BD6"/>
    <w:rsid w:val="053E7F1C"/>
    <w:rsid w:val="05497FF8"/>
    <w:rsid w:val="055C757F"/>
    <w:rsid w:val="05785527"/>
    <w:rsid w:val="057C552B"/>
    <w:rsid w:val="0580501B"/>
    <w:rsid w:val="05947F28"/>
    <w:rsid w:val="05AF3B52"/>
    <w:rsid w:val="05C72C4A"/>
    <w:rsid w:val="06253E14"/>
    <w:rsid w:val="067C5327"/>
    <w:rsid w:val="06B26AEC"/>
    <w:rsid w:val="06B817DB"/>
    <w:rsid w:val="06D849E3"/>
    <w:rsid w:val="06FB7EA8"/>
    <w:rsid w:val="070A64CF"/>
    <w:rsid w:val="070E58EA"/>
    <w:rsid w:val="071360F1"/>
    <w:rsid w:val="071B6299"/>
    <w:rsid w:val="0721282E"/>
    <w:rsid w:val="075B5FCB"/>
    <w:rsid w:val="075B6A1A"/>
    <w:rsid w:val="0768045D"/>
    <w:rsid w:val="0768220B"/>
    <w:rsid w:val="07A1396F"/>
    <w:rsid w:val="07BB56A1"/>
    <w:rsid w:val="07BB67DE"/>
    <w:rsid w:val="07D349FE"/>
    <w:rsid w:val="0802440D"/>
    <w:rsid w:val="08260DE2"/>
    <w:rsid w:val="08272C43"/>
    <w:rsid w:val="08273E74"/>
    <w:rsid w:val="082E5728"/>
    <w:rsid w:val="083B16CD"/>
    <w:rsid w:val="083D260A"/>
    <w:rsid w:val="08400A92"/>
    <w:rsid w:val="08411C9E"/>
    <w:rsid w:val="08512C9F"/>
    <w:rsid w:val="085D74D9"/>
    <w:rsid w:val="086504F8"/>
    <w:rsid w:val="08680944"/>
    <w:rsid w:val="08793FA4"/>
    <w:rsid w:val="08897431"/>
    <w:rsid w:val="08B1373D"/>
    <w:rsid w:val="08BA0844"/>
    <w:rsid w:val="08C328F3"/>
    <w:rsid w:val="08E81855"/>
    <w:rsid w:val="08F73FB3"/>
    <w:rsid w:val="08F74913"/>
    <w:rsid w:val="08F8136C"/>
    <w:rsid w:val="090547AB"/>
    <w:rsid w:val="090D1B45"/>
    <w:rsid w:val="09164338"/>
    <w:rsid w:val="092D5950"/>
    <w:rsid w:val="09322AD0"/>
    <w:rsid w:val="0946032A"/>
    <w:rsid w:val="095803FE"/>
    <w:rsid w:val="096333E2"/>
    <w:rsid w:val="09637766"/>
    <w:rsid w:val="096B7D90"/>
    <w:rsid w:val="096D2C69"/>
    <w:rsid w:val="09726067"/>
    <w:rsid w:val="098F079E"/>
    <w:rsid w:val="099A4F71"/>
    <w:rsid w:val="09A514F4"/>
    <w:rsid w:val="09B05932"/>
    <w:rsid w:val="09B90AFC"/>
    <w:rsid w:val="09C02475"/>
    <w:rsid w:val="09CF1D4B"/>
    <w:rsid w:val="09D36016"/>
    <w:rsid w:val="09DE0562"/>
    <w:rsid w:val="09E7101B"/>
    <w:rsid w:val="09F064E7"/>
    <w:rsid w:val="0A162780"/>
    <w:rsid w:val="0A24345E"/>
    <w:rsid w:val="0A4B01E4"/>
    <w:rsid w:val="0A5223CA"/>
    <w:rsid w:val="0A5B3F9D"/>
    <w:rsid w:val="0A79613E"/>
    <w:rsid w:val="0A7D5788"/>
    <w:rsid w:val="0A82506F"/>
    <w:rsid w:val="0A9B28F7"/>
    <w:rsid w:val="0AA01CBB"/>
    <w:rsid w:val="0AA346A5"/>
    <w:rsid w:val="0AB93D4D"/>
    <w:rsid w:val="0AD007F3"/>
    <w:rsid w:val="0ADD6A6C"/>
    <w:rsid w:val="0ADE42C6"/>
    <w:rsid w:val="0AF0679F"/>
    <w:rsid w:val="0AF72F43"/>
    <w:rsid w:val="0B1161B7"/>
    <w:rsid w:val="0B2823DD"/>
    <w:rsid w:val="0B2D7384"/>
    <w:rsid w:val="0B463908"/>
    <w:rsid w:val="0B505490"/>
    <w:rsid w:val="0B605AE8"/>
    <w:rsid w:val="0B6D6830"/>
    <w:rsid w:val="0B776EC0"/>
    <w:rsid w:val="0B79281A"/>
    <w:rsid w:val="0B7A075E"/>
    <w:rsid w:val="0B8213C1"/>
    <w:rsid w:val="0B884C29"/>
    <w:rsid w:val="0B9510F4"/>
    <w:rsid w:val="0B9744C6"/>
    <w:rsid w:val="0BA15CEB"/>
    <w:rsid w:val="0BBC4048"/>
    <w:rsid w:val="0BCD25D8"/>
    <w:rsid w:val="0BDC6D23"/>
    <w:rsid w:val="0BE04151"/>
    <w:rsid w:val="0BED7559"/>
    <w:rsid w:val="0C142763"/>
    <w:rsid w:val="0C143C68"/>
    <w:rsid w:val="0C1D1E4F"/>
    <w:rsid w:val="0C1F7706"/>
    <w:rsid w:val="0C41302A"/>
    <w:rsid w:val="0C6C6DD5"/>
    <w:rsid w:val="0C7033F0"/>
    <w:rsid w:val="0C750AAB"/>
    <w:rsid w:val="0C79066D"/>
    <w:rsid w:val="0C7E602C"/>
    <w:rsid w:val="0C840196"/>
    <w:rsid w:val="0C99751F"/>
    <w:rsid w:val="0CDE31AF"/>
    <w:rsid w:val="0CE42333"/>
    <w:rsid w:val="0CE57E5A"/>
    <w:rsid w:val="0CE75980"/>
    <w:rsid w:val="0CED2245"/>
    <w:rsid w:val="0CEE6D0E"/>
    <w:rsid w:val="0D0D3FDC"/>
    <w:rsid w:val="0D2A70D8"/>
    <w:rsid w:val="0D352B8F"/>
    <w:rsid w:val="0D41674E"/>
    <w:rsid w:val="0D5654CA"/>
    <w:rsid w:val="0D5F0710"/>
    <w:rsid w:val="0D662D48"/>
    <w:rsid w:val="0D6C609B"/>
    <w:rsid w:val="0D7731A8"/>
    <w:rsid w:val="0D8853B5"/>
    <w:rsid w:val="0D913B3D"/>
    <w:rsid w:val="0D917081"/>
    <w:rsid w:val="0DBF4B4E"/>
    <w:rsid w:val="0DC12675"/>
    <w:rsid w:val="0DC83A03"/>
    <w:rsid w:val="0DDA53A8"/>
    <w:rsid w:val="0DE27E5D"/>
    <w:rsid w:val="0DF009AC"/>
    <w:rsid w:val="0DF66AF7"/>
    <w:rsid w:val="0DF814C0"/>
    <w:rsid w:val="0E250E55"/>
    <w:rsid w:val="0E2F75DE"/>
    <w:rsid w:val="0E341099"/>
    <w:rsid w:val="0E465EE5"/>
    <w:rsid w:val="0E49572E"/>
    <w:rsid w:val="0E527771"/>
    <w:rsid w:val="0E5400D2"/>
    <w:rsid w:val="0E5A2B86"/>
    <w:rsid w:val="0E63372C"/>
    <w:rsid w:val="0E64313B"/>
    <w:rsid w:val="0E925DBF"/>
    <w:rsid w:val="0E941B37"/>
    <w:rsid w:val="0E955B7B"/>
    <w:rsid w:val="0E963B01"/>
    <w:rsid w:val="0EB07DB8"/>
    <w:rsid w:val="0EB45D35"/>
    <w:rsid w:val="0EB61AAE"/>
    <w:rsid w:val="0EB83A78"/>
    <w:rsid w:val="0EB977F0"/>
    <w:rsid w:val="0EE14E44"/>
    <w:rsid w:val="0EEC1973"/>
    <w:rsid w:val="0EFE3455"/>
    <w:rsid w:val="0F124079"/>
    <w:rsid w:val="0F2D402A"/>
    <w:rsid w:val="0F33338E"/>
    <w:rsid w:val="0F346E76"/>
    <w:rsid w:val="0F3A0BF2"/>
    <w:rsid w:val="0F44355D"/>
    <w:rsid w:val="0F4C3579"/>
    <w:rsid w:val="0F4C5F6E"/>
    <w:rsid w:val="0F6350F0"/>
    <w:rsid w:val="0F661726"/>
    <w:rsid w:val="0FE56F95"/>
    <w:rsid w:val="10354C54"/>
    <w:rsid w:val="104355C3"/>
    <w:rsid w:val="105A290D"/>
    <w:rsid w:val="10710382"/>
    <w:rsid w:val="10935529"/>
    <w:rsid w:val="10BD47FE"/>
    <w:rsid w:val="10E40F69"/>
    <w:rsid w:val="10E91373"/>
    <w:rsid w:val="110F1949"/>
    <w:rsid w:val="11164A85"/>
    <w:rsid w:val="11241AA9"/>
    <w:rsid w:val="11300774"/>
    <w:rsid w:val="1142587A"/>
    <w:rsid w:val="115E7C44"/>
    <w:rsid w:val="116577BB"/>
    <w:rsid w:val="11712CA8"/>
    <w:rsid w:val="11936764"/>
    <w:rsid w:val="119F2CCD"/>
    <w:rsid w:val="11A45B9C"/>
    <w:rsid w:val="11B47626"/>
    <w:rsid w:val="11B5716D"/>
    <w:rsid w:val="11BA7B07"/>
    <w:rsid w:val="11BC1869"/>
    <w:rsid w:val="11EB7CC0"/>
    <w:rsid w:val="11F1104F"/>
    <w:rsid w:val="11F54030"/>
    <w:rsid w:val="12065044"/>
    <w:rsid w:val="120D2672"/>
    <w:rsid w:val="1211524D"/>
    <w:rsid w:val="122A7470"/>
    <w:rsid w:val="123635A8"/>
    <w:rsid w:val="12411FD6"/>
    <w:rsid w:val="125D07AF"/>
    <w:rsid w:val="12640534"/>
    <w:rsid w:val="126628BA"/>
    <w:rsid w:val="12685BA3"/>
    <w:rsid w:val="127557DC"/>
    <w:rsid w:val="127A31E0"/>
    <w:rsid w:val="128B4FFF"/>
    <w:rsid w:val="128D765A"/>
    <w:rsid w:val="12900868"/>
    <w:rsid w:val="12940358"/>
    <w:rsid w:val="12A25AB2"/>
    <w:rsid w:val="12C0739F"/>
    <w:rsid w:val="12D320C6"/>
    <w:rsid w:val="12D46D31"/>
    <w:rsid w:val="12E13B1A"/>
    <w:rsid w:val="12F4307A"/>
    <w:rsid w:val="132F0080"/>
    <w:rsid w:val="134C7F59"/>
    <w:rsid w:val="135A334F"/>
    <w:rsid w:val="137448D2"/>
    <w:rsid w:val="138469F4"/>
    <w:rsid w:val="13985C26"/>
    <w:rsid w:val="13AF6F29"/>
    <w:rsid w:val="13BA2040"/>
    <w:rsid w:val="13BA6376"/>
    <w:rsid w:val="13CA1B57"/>
    <w:rsid w:val="13F67DAD"/>
    <w:rsid w:val="141334FE"/>
    <w:rsid w:val="1424570B"/>
    <w:rsid w:val="14333421"/>
    <w:rsid w:val="14356820"/>
    <w:rsid w:val="147E4E1C"/>
    <w:rsid w:val="14922675"/>
    <w:rsid w:val="14A32CE2"/>
    <w:rsid w:val="14A66120"/>
    <w:rsid w:val="14D26F15"/>
    <w:rsid w:val="14E54E9B"/>
    <w:rsid w:val="15202377"/>
    <w:rsid w:val="15204125"/>
    <w:rsid w:val="15274F8D"/>
    <w:rsid w:val="15485429"/>
    <w:rsid w:val="154D1AB5"/>
    <w:rsid w:val="1565422D"/>
    <w:rsid w:val="15671D54"/>
    <w:rsid w:val="157D3325"/>
    <w:rsid w:val="15875F52"/>
    <w:rsid w:val="158A5A42"/>
    <w:rsid w:val="159C04D3"/>
    <w:rsid w:val="15B97F07"/>
    <w:rsid w:val="15C957B6"/>
    <w:rsid w:val="160F43F2"/>
    <w:rsid w:val="16117F11"/>
    <w:rsid w:val="16330ED4"/>
    <w:rsid w:val="166938A9"/>
    <w:rsid w:val="16783AEC"/>
    <w:rsid w:val="169D4BA9"/>
    <w:rsid w:val="16AA78E7"/>
    <w:rsid w:val="16B44C04"/>
    <w:rsid w:val="16BD5E48"/>
    <w:rsid w:val="16E2688B"/>
    <w:rsid w:val="16EC4BB5"/>
    <w:rsid w:val="16F5513D"/>
    <w:rsid w:val="16FA5342"/>
    <w:rsid w:val="170245DA"/>
    <w:rsid w:val="17050933"/>
    <w:rsid w:val="17067B32"/>
    <w:rsid w:val="170F61FF"/>
    <w:rsid w:val="171811BB"/>
    <w:rsid w:val="172244D9"/>
    <w:rsid w:val="17301F42"/>
    <w:rsid w:val="17432086"/>
    <w:rsid w:val="176A78D9"/>
    <w:rsid w:val="17710C68"/>
    <w:rsid w:val="177829ED"/>
    <w:rsid w:val="177B3894"/>
    <w:rsid w:val="1787048B"/>
    <w:rsid w:val="17B71124"/>
    <w:rsid w:val="17BB0135"/>
    <w:rsid w:val="17C1746A"/>
    <w:rsid w:val="17C470E7"/>
    <w:rsid w:val="17C52508"/>
    <w:rsid w:val="17CC0594"/>
    <w:rsid w:val="17D5787E"/>
    <w:rsid w:val="17E62C77"/>
    <w:rsid w:val="17E80C8A"/>
    <w:rsid w:val="17EE16B8"/>
    <w:rsid w:val="18083E91"/>
    <w:rsid w:val="182C2DE0"/>
    <w:rsid w:val="18363C5F"/>
    <w:rsid w:val="18365B35"/>
    <w:rsid w:val="18371EB1"/>
    <w:rsid w:val="18396D34"/>
    <w:rsid w:val="183D0F49"/>
    <w:rsid w:val="18441ED8"/>
    <w:rsid w:val="18516152"/>
    <w:rsid w:val="18517C40"/>
    <w:rsid w:val="185547A4"/>
    <w:rsid w:val="18585984"/>
    <w:rsid w:val="185D43EA"/>
    <w:rsid w:val="186E7023"/>
    <w:rsid w:val="18833979"/>
    <w:rsid w:val="18910E95"/>
    <w:rsid w:val="189244AD"/>
    <w:rsid w:val="18B51D1E"/>
    <w:rsid w:val="18C33745"/>
    <w:rsid w:val="18CD0120"/>
    <w:rsid w:val="19063965"/>
    <w:rsid w:val="190A2398"/>
    <w:rsid w:val="191F6C64"/>
    <w:rsid w:val="19467ED2"/>
    <w:rsid w:val="19573E8D"/>
    <w:rsid w:val="196071E6"/>
    <w:rsid w:val="197762DD"/>
    <w:rsid w:val="19795932"/>
    <w:rsid w:val="198D1F04"/>
    <w:rsid w:val="198F7ACB"/>
    <w:rsid w:val="199F408C"/>
    <w:rsid w:val="19B412DF"/>
    <w:rsid w:val="19BD0194"/>
    <w:rsid w:val="19CA28B1"/>
    <w:rsid w:val="19D61256"/>
    <w:rsid w:val="19E74CBD"/>
    <w:rsid w:val="19EC0A79"/>
    <w:rsid w:val="19F4792E"/>
    <w:rsid w:val="19F601F5"/>
    <w:rsid w:val="19F81A40"/>
    <w:rsid w:val="19FB0CBC"/>
    <w:rsid w:val="19FE255B"/>
    <w:rsid w:val="1A145657"/>
    <w:rsid w:val="1A400DC5"/>
    <w:rsid w:val="1A4E3558"/>
    <w:rsid w:val="1A596813"/>
    <w:rsid w:val="1A903AFB"/>
    <w:rsid w:val="1AA06395"/>
    <w:rsid w:val="1AB86680"/>
    <w:rsid w:val="1AC83294"/>
    <w:rsid w:val="1AD31C39"/>
    <w:rsid w:val="1AE23C2A"/>
    <w:rsid w:val="1AFC5C92"/>
    <w:rsid w:val="1B157B5C"/>
    <w:rsid w:val="1B1C3C84"/>
    <w:rsid w:val="1B2304CB"/>
    <w:rsid w:val="1B2B0E96"/>
    <w:rsid w:val="1B3204C1"/>
    <w:rsid w:val="1B3A3A66"/>
    <w:rsid w:val="1B445528"/>
    <w:rsid w:val="1B5A65C8"/>
    <w:rsid w:val="1B9752D1"/>
    <w:rsid w:val="1B9D6D36"/>
    <w:rsid w:val="1BAD1318"/>
    <w:rsid w:val="1BB13D28"/>
    <w:rsid w:val="1BB57BF5"/>
    <w:rsid w:val="1BC1681F"/>
    <w:rsid w:val="1BCA303C"/>
    <w:rsid w:val="1BEC4F01"/>
    <w:rsid w:val="1BF17BA8"/>
    <w:rsid w:val="1BF21146"/>
    <w:rsid w:val="1C03133B"/>
    <w:rsid w:val="1C1442B7"/>
    <w:rsid w:val="1C177904"/>
    <w:rsid w:val="1C1B5646"/>
    <w:rsid w:val="1C2269D4"/>
    <w:rsid w:val="1C270AF9"/>
    <w:rsid w:val="1C381D54"/>
    <w:rsid w:val="1C6E5776"/>
    <w:rsid w:val="1C6E7E6B"/>
    <w:rsid w:val="1C7B6D3D"/>
    <w:rsid w:val="1CAE0858"/>
    <w:rsid w:val="1CB44238"/>
    <w:rsid w:val="1CC054F0"/>
    <w:rsid w:val="1CD203FA"/>
    <w:rsid w:val="1CE26164"/>
    <w:rsid w:val="1CF739BD"/>
    <w:rsid w:val="1D5844D6"/>
    <w:rsid w:val="1D65301C"/>
    <w:rsid w:val="1D721295"/>
    <w:rsid w:val="1D945474"/>
    <w:rsid w:val="1D9D4AC7"/>
    <w:rsid w:val="1DAB47A7"/>
    <w:rsid w:val="1DB529B0"/>
    <w:rsid w:val="1DE63A32"/>
    <w:rsid w:val="1DFB128B"/>
    <w:rsid w:val="1DFF5291"/>
    <w:rsid w:val="1E075E82"/>
    <w:rsid w:val="1E094F16"/>
    <w:rsid w:val="1E190190"/>
    <w:rsid w:val="1E3D18A3"/>
    <w:rsid w:val="1E5E7A6C"/>
    <w:rsid w:val="1E6037E4"/>
    <w:rsid w:val="1E85149C"/>
    <w:rsid w:val="1E9E39C1"/>
    <w:rsid w:val="1EAF2075"/>
    <w:rsid w:val="1EB55AAE"/>
    <w:rsid w:val="1EEC1929"/>
    <w:rsid w:val="1EEE4EA3"/>
    <w:rsid w:val="1EF36406"/>
    <w:rsid w:val="1F1A4839"/>
    <w:rsid w:val="1F3643E9"/>
    <w:rsid w:val="1F5A6485"/>
    <w:rsid w:val="1F784FD2"/>
    <w:rsid w:val="1F7C63FB"/>
    <w:rsid w:val="1F9A6FF2"/>
    <w:rsid w:val="1FA871F0"/>
    <w:rsid w:val="1FBC7140"/>
    <w:rsid w:val="1FC65B20"/>
    <w:rsid w:val="1FD53D5E"/>
    <w:rsid w:val="1FD55B0C"/>
    <w:rsid w:val="1FEF4E1F"/>
    <w:rsid w:val="2013504E"/>
    <w:rsid w:val="201B5C14"/>
    <w:rsid w:val="20210D51"/>
    <w:rsid w:val="202645B9"/>
    <w:rsid w:val="204368A7"/>
    <w:rsid w:val="204D7D98"/>
    <w:rsid w:val="20523600"/>
    <w:rsid w:val="205A0CA7"/>
    <w:rsid w:val="207D6F35"/>
    <w:rsid w:val="20875C08"/>
    <w:rsid w:val="208A5629"/>
    <w:rsid w:val="208C6900"/>
    <w:rsid w:val="20D83B05"/>
    <w:rsid w:val="21026DD4"/>
    <w:rsid w:val="21036054"/>
    <w:rsid w:val="215E2D5F"/>
    <w:rsid w:val="21683E45"/>
    <w:rsid w:val="216C4B79"/>
    <w:rsid w:val="21704FDE"/>
    <w:rsid w:val="21820494"/>
    <w:rsid w:val="21872D7C"/>
    <w:rsid w:val="21957C48"/>
    <w:rsid w:val="21964D05"/>
    <w:rsid w:val="219A3E06"/>
    <w:rsid w:val="219F0AC7"/>
    <w:rsid w:val="21B75E11"/>
    <w:rsid w:val="21BF7F56"/>
    <w:rsid w:val="21F61773"/>
    <w:rsid w:val="220B4B15"/>
    <w:rsid w:val="221F7512"/>
    <w:rsid w:val="222D60D3"/>
    <w:rsid w:val="22550DF8"/>
    <w:rsid w:val="22552996"/>
    <w:rsid w:val="226B2757"/>
    <w:rsid w:val="228710B6"/>
    <w:rsid w:val="229B1FB8"/>
    <w:rsid w:val="229E6224"/>
    <w:rsid w:val="22B63754"/>
    <w:rsid w:val="22C11A1D"/>
    <w:rsid w:val="22C24A6D"/>
    <w:rsid w:val="22C84B2D"/>
    <w:rsid w:val="22C96F1D"/>
    <w:rsid w:val="22CA56D0"/>
    <w:rsid w:val="22CC2975"/>
    <w:rsid w:val="22DF561F"/>
    <w:rsid w:val="22F56196"/>
    <w:rsid w:val="230B6414"/>
    <w:rsid w:val="232C638A"/>
    <w:rsid w:val="233B037C"/>
    <w:rsid w:val="2346744C"/>
    <w:rsid w:val="234A579B"/>
    <w:rsid w:val="235558E1"/>
    <w:rsid w:val="23607DE2"/>
    <w:rsid w:val="23952182"/>
    <w:rsid w:val="239F090A"/>
    <w:rsid w:val="23A14683"/>
    <w:rsid w:val="23A7106A"/>
    <w:rsid w:val="23BB662F"/>
    <w:rsid w:val="23C81A7D"/>
    <w:rsid w:val="23CD5478"/>
    <w:rsid w:val="23CE5CAC"/>
    <w:rsid w:val="23D22A8E"/>
    <w:rsid w:val="23E627D5"/>
    <w:rsid w:val="24034FA7"/>
    <w:rsid w:val="241F37F9"/>
    <w:rsid w:val="242B4894"/>
    <w:rsid w:val="245009B2"/>
    <w:rsid w:val="24594C20"/>
    <w:rsid w:val="246758CC"/>
    <w:rsid w:val="246C6786"/>
    <w:rsid w:val="246F2B60"/>
    <w:rsid w:val="24857B00"/>
    <w:rsid w:val="24961D0D"/>
    <w:rsid w:val="24A878F5"/>
    <w:rsid w:val="24AD7835"/>
    <w:rsid w:val="24CF521F"/>
    <w:rsid w:val="24D740D4"/>
    <w:rsid w:val="24E41CD1"/>
    <w:rsid w:val="24E422B9"/>
    <w:rsid w:val="24F42ED8"/>
    <w:rsid w:val="25050C41"/>
    <w:rsid w:val="25396B3D"/>
    <w:rsid w:val="254774AC"/>
    <w:rsid w:val="254E11A8"/>
    <w:rsid w:val="2558413D"/>
    <w:rsid w:val="256A4F48"/>
    <w:rsid w:val="25750EFA"/>
    <w:rsid w:val="259721E1"/>
    <w:rsid w:val="25976D26"/>
    <w:rsid w:val="259F2E44"/>
    <w:rsid w:val="25A4045A"/>
    <w:rsid w:val="25B83F05"/>
    <w:rsid w:val="25BB4AB6"/>
    <w:rsid w:val="25C55DD2"/>
    <w:rsid w:val="25C97EC1"/>
    <w:rsid w:val="25D86356"/>
    <w:rsid w:val="25F969F8"/>
    <w:rsid w:val="25FC2044"/>
    <w:rsid w:val="25FF1B48"/>
    <w:rsid w:val="26235823"/>
    <w:rsid w:val="26282E39"/>
    <w:rsid w:val="262D044F"/>
    <w:rsid w:val="264755DA"/>
    <w:rsid w:val="2650632F"/>
    <w:rsid w:val="265D2145"/>
    <w:rsid w:val="2674607E"/>
    <w:rsid w:val="26865DB2"/>
    <w:rsid w:val="268D0EEE"/>
    <w:rsid w:val="26A34F33"/>
    <w:rsid w:val="26AB2BB4"/>
    <w:rsid w:val="26AC4595"/>
    <w:rsid w:val="26BD2F15"/>
    <w:rsid w:val="26C6672D"/>
    <w:rsid w:val="26DE64E1"/>
    <w:rsid w:val="26E054C2"/>
    <w:rsid w:val="26E8081A"/>
    <w:rsid w:val="26FE5ADC"/>
    <w:rsid w:val="270D202F"/>
    <w:rsid w:val="270F224B"/>
    <w:rsid w:val="272F1FA5"/>
    <w:rsid w:val="273D4CD3"/>
    <w:rsid w:val="274C0DA9"/>
    <w:rsid w:val="276E51C4"/>
    <w:rsid w:val="27725403"/>
    <w:rsid w:val="277F4CDB"/>
    <w:rsid w:val="27A07C73"/>
    <w:rsid w:val="27A54E6E"/>
    <w:rsid w:val="27C55379"/>
    <w:rsid w:val="27E510DA"/>
    <w:rsid w:val="27FF4ACF"/>
    <w:rsid w:val="28133675"/>
    <w:rsid w:val="281524FB"/>
    <w:rsid w:val="28213FE4"/>
    <w:rsid w:val="28432D0B"/>
    <w:rsid w:val="285B1A79"/>
    <w:rsid w:val="285B2563"/>
    <w:rsid w:val="286C6C8C"/>
    <w:rsid w:val="287A3919"/>
    <w:rsid w:val="287F1449"/>
    <w:rsid w:val="28836A4D"/>
    <w:rsid w:val="28904CC6"/>
    <w:rsid w:val="289735C3"/>
    <w:rsid w:val="28A10C81"/>
    <w:rsid w:val="28B21FC9"/>
    <w:rsid w:val="28BA1D43"/>
    <w:rsid w:val="28CF57EE"/>
    <w:rsid w:val="28EA6ACC"/>
    <w:rsid w:val="28F63DEB"/>
    <w:rsid w:val="290D27BA"/>
    <w:rsid w:val="292A61A8"/>
    <w:rsid w:val="293D309F"/>
    <w:rsid w:val="29542197"/>
    <w:rsid w:val="295B3526"/>
    <w:rsid w:val="295C3415"/>
    <w:rsid w:val="296D5007"/>
    <w:rsid w:val="296D5CA9"/>
    <w:rsid w:val="299627B0"/>
    <w:rsid w:val="299D726F"/>
    <w:rsid w:val="299F1664"/>
    <w:rsid w:val="299F3E67"/>
    <w:rsid w:val="29B6075C"/>
    <w:rsid w:val="29BE0CD5"/>
    <w:rsid w:val="29C7330B"/>
    <w:rsid w:val="29F3375E"/>
    <w:rsid w:val="29FF13FB"/>
    <w:rsid w:val="2A047719"/>
    <w:rsid w:val="2A157B78"/>
    <w:rsid w:val="2A224043"/>
    <w:rsid w:val="2A2A4058"/>
    <w:rsid w:val="2A2E2822"/>
    <w:rsid w:val="2A353E06"/>
    <w:rsid w:val="2A4C2E6E"/>
    <w:rsid w:val="2A6401B8"/>
    <w:rsid w:val="2A7222CD"/>
    <w:rsid w:val="2A7B6E0A"/>
    <w:rsid w:val="2AB3306A"/>
    <w:rsid w:val="2ABF2FD8"/>
    <w:rsid w:val="2ACA2711"/>
    <w:rsid w:val="2AF61758"/>
    <w:rsid w:val="2B4A1AA4"/>
    <w:rsid w:val="2B6510BB"/>
    <w:rsid w:val="2B6A7A50"/>
    <w:rsid w:val="2BA50A88"/>
    <w:rsid w:val="2BA611ED"/>
    <w:rsid w:val="2BDC228A"/>
    <w:rsid w:val="2BE35420"/>
    <w:rsid w:val="2BE36F87"/>
    <w:rsid w:val="2BE739FD"/>
    <w:rsid w:val="2BEB54C0"/>
    <w:rsid w:val="2C4209CD"/>
    <w:rsid w:val="2C4324AD"/>
    <w:rsid w:val="2C792640"/>
    <w:rsid w:val="2C8A0882"/>
    <w:rsid w:val="2C8D5567"/>
    <w:rsid w:val="2C9A2E24"/>
    <w:rsid w:val="2C9D5C03"/>
    <w:rsid w:val="2CBA0563"/>
    <w:rsid w:val="2CF72792"/>
    <w:rsid w:val="2D242128"/>
    <w:rsid w:val="2D4228D5"/>
    <w:rsid w:val="2D683FFC"/>
    <w:rsid w:val="2D8017AD"/>
    <w:rsid w:val="2D8B049F"/>
    <w:rsid w:val="2D9B2143"/>
    <w:rsid w:val="2DAF3E40"/>
    <w:rsid w:val="2DB744FC"/>
    <w:rsid w:val="2DCB3B18"/>
    <w:rsid w:val="2DD010C7"/>
    <w:rsid w:val="2DD1025A"/>
    <w:rsid w:val="2DEE11D5"/>
    <w:rsid w:val="2E020414"/>
    <w:rsid w:val="2E0C2D5B"/>
    <w:rsid w:val="2E0E5FB4"/>
    <w:rsid w:val="2E1C30BA"/>
    <w:rsid w:val="2E206AEC"/>
    <w:rsid w:val="2E417787"/>
    <w:rsid w:val="2E701821"/>
    <w:rsid w:val="2E7035CF"/>
    <w:rsid w:val="2E740FB4"/>
    <w:rsid w:val="2E9F3031"/>
    <w:rsid w:val="2EA329DD"/>
    <w:rsid w:val="2EAE5EA6"/>
    <w:rsid w:val="2EB2611B"/>
    <w:rsid w:val="2EB77D11"/>
    <w:rsid w:val="2EC4391B"/>
    <w:rsid w:val="2EF747A8"/>
    <w:rsid w:val="2F032695"/>
    <w:rsid w:val="2F0B154A"/>
    <w:rsid w:val="2F155F25"/>
    <w:rsid w:val="2F177EEF"/>
    <w:rsid w:val="2F4F24DA"/>
    <w:rsid w:val="2F5D5A33"/>
    <w:rsid w:val="2F61560E"/>
    <w:rsid w:val="2F7962AC"/>
    <w:rsid w:val="2F8A06C1"/>
    <w:rsid w:val="2F8A246F"/>
    <w:rsid w:val="2F9257C7"/>
    <w:rsid w:val="2F9B47BA"/>
    <w:rsid w:val="2FA5374C"/>
    <w:rsid w:val="2FAB751E"/>
    <w:rsid w:val="2FB97352"/>
    <w:rsid w:val="2FC242FE"/>
    <w:rsid w:val="2FC55574"/>
    <w:rsid w:val="2FCF07C9"/>
    <w:rsid w:val="30291525"/>
    <w:rsid w:val="30313232"/>
    <w:rsid w:val="304E3653"/>
    <w:rsid w:val="305E56A9"/>
    <w:rsid w:val="306F69D4"/>
    <w:rsid w:val="30731B82"/>
    <w:rsid w:val="30806116"/>
    <w:rsid w:val="308E41E1"/>
    <w:rsid w:val="30A27C8C"/>
    <w:rsid w:val="30B86D6B"/>
    <w:rsid w:val="30BD2F4A"/>
    <w:rsid w:val="30D24913"/>
    <w:rsid w:val="30D51E0F"/>
    <w:rsid w:val="30D77936"/>
    <w:rsid w:val="30DA394E"/>
    <w:rsid w:val="30F2476F"/>
    <w:rsid w:val="3104233C"/>
    <w:rsid w:val="3115045E"/>
    <w:rsid w:val="3117030D"/>
    <w:rsid w:val="31227267"/>
    <w:rsid w:val="31464ABB"/>
    <w:rsid w:val="31572824"/>
    <w:rsid w:val="31592A40"/>
    <w:rsid w:val="31603DCF"/>
    <w:rsid w:val="316D2048"/>
    <w:rsid w:val="31701B38"/>
    <w:rsid w:val="317E6003"/>
    <w:rsid w:val="3186135C"/>
    <w:rsid w:val="319412B0"/>
    <w:rsid w:val="31970012"/>
    <w:rsid w:val="319B6BB5"/>
    <w:rsid w:val="31C6078C"/>
    <w:rsid w:val="31D8163C"/>
    <w:rsid w:val="31EB2691"/>
    <w:rsid w:val="31EE7565"/>
    <w:rsid w:val="325369E9"/>
    <w:rsid w:val="326425BD"/>
    <w:rsid w:val="326700FF"/>
    <w:rsid w:val="32827D75"/>
    <w:rsid w:val="328A1277"/>
    <w:rsid w:val="32957AA8"/>
    <w:rsid w:val="32963820"/>
    <w:rsid w:val="32DC78F8"/>
    <w:rsid w:val="32DF6F75"/>
    <w:rsid w:val="32F10A57"/>
    <w:rsid w:val="33134925"/>
    <w:rsid w:val="3328091C"/>
    <w:rsid w:val="33596D28"/>
    <w:rsid w:val="335A484E"/>
    <w:rsid w:val="33604A58"/>
    <w:rsid w:val="3361798A"/>
    <w:rsid w:val="337E1556"/>
    <w:rsid w:val="339C09C3"/>
    <w:rsid w:val="339C6B01"/>
    <w:rsid w:val="33C341A1"/>
    <w:rsid w:val="33C76902"/>
    <w:rsid w:val="33C94E41"/>
    <w:rsid w:val="33D53A9D"/>
    <w:rsid w:val="33E505BB"/>
    <w:rsid w:val="33EC67CB"/>
    <w:rsid w:val="33ED56C2"/>
    <w:rsid w:val="34076784"/>
    <w:rsid w:val="340E3613"/>
    <w:rsid w:val="341423B6"/>
    <w:rsid w:val="344A2B14"/>
    <w:rsid w:val="345117AD"/>
    <w:rsid w:val="34525525"/>
    <w:rsid w:val="345303D9"/>
    <w:rsid w:val="345E3ECA"/>
    <w:rsid w:val="346314E0"/>
    <w:rsid w:val="34767465"/>
    <w:rsid w:val="347A51A8"/>
    <w:rsid w:val="348A1163"/>
    <w:rsid w:val="3492524F"/>
    <w:rsid w:val="34D10B40"/>
    <w:rsid w:val="34E40873"/>
    <w:rsid w:val="34F12F90"/>
    <w:rsid w:val="34F32864"/>
    <w:rsid w:val="350C46FB"/>
    <w:rsid w:val="35421694"/>
    <w:rsid w:val="35510FBB"/>
    <w:rsid w:val="35584DBD"/>
    <w:rsid w:val="357C0A22"/>
    <w:rsid w:val="359304E6"/>
    <w:rsid w:val="359B7676"/>
    <w:rsid w:val="359E3147"/>
    <w:rsid w:val="35AE4A19"/>
    <w:rsid w:val="35AF5C6F"/>
    <w:rsid w:val="35C0308E"/>
    <w:rsid w:val="35D5640E"/>
    <w:rsid w:val="35E01AE0"/>
    <w:rsid w:val="35F32813"/>
    <w:rsid w:val="35F42D38"/>
    <w:rsid w:val="360311CD"/>
    <w:rsid w:val="36080591"/>
    <w:rsid w:val="36155A91"/>
    <w:rsid w:val="36195F56"/>
    <w:rsid w:val="364F4412"/>
    <w:rsid w:val="366967ED"/>
    <w:rsid w:val="366F2FCA"/>
    <w:rsid w:val="3680483A"/>
    <w:rsid w:val="3681331C"/>
    <w:rsid w:val="368508BD"/>
    <w:rsid w:val="3690566F"/>
    <w:rsid w:val="36AD3DD8"/>
    <w:rsid w:val="36B129D7"/>
    <w:rsid w:val="36BD137C"/>
    <w:rsid w:val="36CF7301"/>
    <w:rsid w:val="36D451CC"/>
    <w:rsid w:val="37135440"/>
    <w:rsid w:val="37265173"/>
    <w:rsid w:val="372D4416"/>
    <w:rsid w:val="37305FF2"/>
    <w:rsid w:val="37373C44"/>
    <w:rsid w:val="373A29CC"/>
    <w:rsid w:val="37531CE0"/>
    <w:rsid w:val="3757357E"/>
    <w:rsid w:val="375B21C6"/>
    <w:rsid w:val="37B00EE0"/>
    <w:rsid w:val="37B7712A"/>
    <w:rsid w:val="37C16C4A"/>
    <w:rsid w:val="37CB5D1A"/>
    <w:rsid w:val="37FA215C"/>
    <w:rsid w:val="37FC2378"/>
    <w:rsid w:val="38033706"/>
    <w:rsid w:val="3814146F"/>
    <w:rsid w:val="3816007E"/>
    <w:rsid w:val="38172D0E"/>
    <w:rsid w:val="38185849"/>
    <w:rsid w:val="381B27FE"/>
    <w:rsid w:val="38313FBA"/>
    <w:rsid w:val="383C4522"/>
    <w:rsid w:val="384A6C3F"/>
    <w:rsid w:val="38521F98"/>
    <w:rsid w:val="38547A46"/>
    <w:rsid w:val="3881462B"/>
    <w:rsid w:val="389B749B"/>
    <w:rsid w:val="38A9615A"/>
    <w:rsid w:val="38AC5B4C"/>
    <w:rsid w:val="38B95B73"/>
    <w:rsid w:val="38CA7D80"/>
    <w:rsid w:val="38D31D51"/>
    <w:rsid w:val="38DD5766"/>
    <w:rsid w:val="38EF77E6"/>
    <w:rsid w:val="390A63CE"/>
    <w:rsid w:val="391079F7"/>
    <w:rsid w:val="39184F8F"/>
    <w:rsid w:val="391C09CE"/>
    <w:rsid w:val="39337813"/>
    <w:rsid w:val="39693A3D"/>
    <w:rsid w:val="396A50BF"/>
    <w:rsid w:val="398B750F"/>
    <w:rsid w:val="39A92DD2"/>
    <w:rsid w:val="39C12F31"/>
    <w:rsid w:val="39E6508D"/>
    <w:rsid w:val="39E70C2A"/>
    <w:rsid w:val="39F92BBE"/>
    <w:rsid w:val="3A0A2B96"/>
    <w:rsid w:val="3A0E0327"/>
    <w:rsid w:val="3A2F07E2"/>
    <w:rsid w:val="3A405562"/>
    <w:rsid w:val="3A4B615A"/>
    <w:rsid w:val="3A4D0C68"/>
    <w:rsid w:val="3A59585F"/>
    <w:rsid w:val="3A5B3385"/>
    <w:rsid w:val="3A970136"/>
    <w:rsid w:val="3AED5F33"/>
    <w:rsid w:val="3AF37009"/>
    <w:rsid w:val="3AFE3107"/>
    <w:rsid w:val="3B223EA3"/>
    <w:rsid w:val="3B253993"/>
    <w:rsid w:val="3B2C6800"/>
    <w:rsid w:val="3B50533D"/>
    <w:rsid w:val="3B6C01CC"/>
    <w:rsid w:val="3B781D15"/>
    <w:rsid w:val="3B81506E"/>
    <w:rsid w:val="3B934B2B"/>
    <w:rsid w:val="3B9558B8"/>
    <w:rsid w:val="3BB22DC0"/>
    <w:rsid w:val="3BB56AC5"/>
    <w:rsid w:val="3BE13D5E"/>
    <w:rsid w:val="3BE744EC"/>
    <w:rsid w:val="3BEC5D47"/>
    <w:rsid w:val="3BFF7230"/>
    <w:rsid w:val="3C215F09"/>
    <w:rsid w:val="3C244220"/>
    <w:rsid w:val="3C487939"/>
    <w:rsid w:val="3C5938F5"/>
    <w:rsid w:val="3C5B3291"/>
    <w:rsid w:val="3C7C5835"/>
    <w:rsid w:val="3CAA23A2"/>
    <w:rsid w:val="3CAE5FD1"/>
    <w:rsid w:val="3CC60AEE"/>
    <w:rsid w:val="3CD02135"/>
    <w:rsid w:val="3CDB5C3F"/>
    <w:rsid w:val="3CE9272A"/>
    <w:rsid w:val="3CED228F"/>
    <w:rsid w:val="3CF03B2D"/>
    <w:rsid w:val="3CF655E7"/>
    <w:rsid w:val="3D0716AB"/>
    <w:rsid w:val="3D0C0967"/>
    <w:rsid w:val="3D0C264E"/>
    <w:rsid w:val="3D0C4E0B"/>
    <w:rsid w:val="3D523DE0"/>
    <w:rsid w:val="3D597924"/>
    <w:rsid w:val="3D5F4115"/>
    <w:rsid w:val="3D74076B"/>
    <w:rsid w:val="3D995F73"/>
    <w:rsid w:val="3D9B1CEB"/>
    <w:rsid w:val="3DA908AC"/>
    <w:rsid w:val="3DD53583"/>
    <w:rsid w:val="3DDD1FB7"/>
    <w:rsid w:val="3DE6740A"/>
    <w:rsid w:val="3E0D78B0"/>
    <w:rsid w:val="3E330175"/>
    <w:rsid w:val="3E3F2FBE"/>
    <w:rsid w:val="3E88226F"/>
    <w:rsid w:val="3E8E25A8"/>
    <w:rsid w:val="3EAC4FD8"/>
    <w:rsid w:val="3EBB3166"/>
    <w:rsid w:val="3ED23E32"/>
    <w:rsid w:val="3EF6201A"/>
    <w:rsid w:val="3F171845"/>
    <w:rsid w:val="3F2B0BB9"/>
    <w:rsid w:val="3F2E7B74"/>
    <w:rsid w:val="3F4F0FDF"/>
    <w:rsid w:val="3F707703"/>
    <w:rsid w:val="3F980BD8"/>
    <w:rsid w:val="3FC45529"/>
    <w:rsid w:val="3FE15945"/>
    <w:rsid w:val="3FF51B86"/>
    <w:rsid w:val="40291830"/>
    <w:rsid w:val="403501D5"/>
    <w:rsid w:val="40454802"/>
    <w:rsid w:val="405A16B1"/>
    <w:rsid w:val="40614EE1"/>
    <w:rsid w:val="407B423A"/>
    <w:rsid w:val="409C64A6"/>
    <w:rsid w:val="40B25CC9"/>
    <w:rsid w:val="40C81049"/>
    <w:rsid w:val="40F655CB"/>
    <w:rsid w:val="40F96971"/>
    <w:rsid w:val="411C7FBB"/>
    <w:rsid w:val="41270F99"/>
    <w:rsid w:val="41271A71"/>
    <w:rsid w:val="41275AA6"/>
    <w:rsid w:val="4131368F"/>
    <w:rsid w:val="41451B89"/>
    <w:rsid w:val="414C7ECC"/>
    <w:rsid w:val="41596145"/>
    <w:rsid w:val="41597EF3"/>
    <w:rsid w:val="415C5F21"/>
    <w:rsid w:val="41654AEA"/>
    <w:rsid w:val="41670B1B"/>
    <w:rsid w:val="41750C2C"/>
    <w:rsid w:val="418B0589"/>
    <w:rsid w:val="41C3426E"/>
    <w:rsid w:val="41C77552"/>
    <w:rsid w:val="41D473A2"/>
    <w:rsid w:val="41E01492"/>
    <w:rsid w:val="41E50F2A"/>
    <w:rsid w:val="41F62DE8"/>
    <w:rsid w:val="420E5181"/>
    <w:rsid w:val="421B164C"/>
    <w:rsid w:val="42300D15"/>
    <w:rsid w:val="42440BA3"/>
    <w:rsid w:val="429F402B"/>
    <w:rsid w:val="42A258CA"/>
    <w:rsid w:val="42B1225C"/>
    <w:rsid w:val="42BC4BDD"/>
    <w:rsid w:val="42C372C4"/>
    <w:rsid w:val="42C57C5B"/>
    <w:rsid w:val="42C65A5C"/>
    <w:rsid w:val="42C867D5"/>
    <w:rsid w:val="42CB6BCE"/>
    <w:rsid w:val="42CC6F80"/>
    <w:rsid w:val="42D24401"/>
    <w:rsid w:val="42E3216A"/>
    <w:rsid w:val="42E44134"/>
    <w:rsid w:val="42EF518C"/>
    <w:rsid w:val="42F425C9"/>
    <w:rsid w:val="43070A3D"/>
    <w:rsid w:val="430B16C1"/>
    <w:rsid w:val="432A5FEB"/>
    <w:rsid w:val="433A3D54"/>
    <w:rsid w:val="43456721"/>
    <w:rsid w:val="4359067E"/>
    <w:rsid w:val="436314FD"/>
    <w:rsid w:val="43794898"/>
    <w:rsid w:val="437C436D"/>
    <w:rsid w:val="43943464"/>
    <w:rsid w:val="43EC32A0"/>
    <w:rsid w:val="440406C2"/>
    <w:rsid w:val="441237C0"/>
    <w:rsid w:val="441E4BDC"/>
    <w:rsid w:val="4433402D"/>
    <w:rsid w:val="44384737"/>
    <w:rsid w:val="44727C49"/>
    <w:rsid w:val="447560C3"/>
    <w:rsid w:val="447C623E"/>
    <w:rsid w:val="44B5224F"/>
    <w:rsid w:val="44E2459E"/>
    <w:rsid w:val="45041480"/>
    <w:rsid w:val="45050ABD"/>
    <w:rsid w:val="450B0FB3"/>
    <w:rsid w:val="45154345"/>
    <w:rsid w:val="45184A87"/>
    <w:rsid w:val="453E7B2C"/>
    <w:rsid w:val="453F5652"/>
    <w:rsid w:val="4582193B"/>
    <w:rsid w:val="45AB2CE7"/>
    <w:rsid w:val="45D1274E"/>
    <w:rsid w:val="45D87F80"/>
    <w:rsid w:val="45E5269D"/>
    <w:rsid w:val="45F1443D"/>
    <w:rsid w:val="45F3537D"/>
    <w:rsid w:val="45F36B68"/>
    <w:rsid w:val="45F9283E"/>
    <w:rsid w:val="46054AED"/>
    <w:rsid w:val="46184218"/>
    <w:rsid w:val="46316FFA"/>
    <w:rsid w:val="4638133D"/>
    <w:rsid w:val="463C397D"/>
    <w:rsid w:val="46426453"/>
    <w:rsid w:val="465771CD"/>
    <w:rsid w:val="465A5B70"/>
    <w:rsid w:val="467001B9"/>
    <w:rsid w:val="4683378F"/>
    <w:rsid w:val="46847E3E"/>
    <w:rsid w:val="46902609"/>
    <w:rsid w:val="46AD6751"/>
    <w:rsid w:val="46BE1C8A"/>
    <w:rsid w:val="46C91677"/>
    <w:rsid w:val="46CB1893"/>
    <w:rsid w:val="46D02A05"/>
    <w:rsid w:val="46D274F4"/>
    <w:rsid w:val="46D67C01"/>
    <w:rsid w:val="47084895"/>
    <w:rsid w:val="473D47BE"/>
    <w:rsid w:val="47537014"/>
    <w:rsid w:val="47594288"/>
    <w:rsid w:val="47731896"/>
    <w:rsid w:val="477517FF"/>
    <w:rsid w:val="4783216D"/>
    <w:rsid w:val="47C17D57"/>
    <w:rsid w:val="47D00801"/>
    <w:rsid w:val="47DC362C"/>
    <w:rsid w:val="47E0136E"/>
    <w:rsid w:val="47FA3EF2"/>
    <w:rsid w:val="48064CD8"/>
    <w:rsid w:val="480C5CBF"/>
    <w:rsid w:val="481F5625"/>
    <w:rsid w:val="482B6CCE"/>
    <w:rsid w:val="4832149E"/>
    <w:rsid w:val="483F0389"/>
    <w:rsid w:val="484C255F"/>
    <w:rsid w:val="486378A9"/>
    <w:rsid w:val="486D24D6"/>
    <w:rsid w:val="48774549"/>
    <w:rsid w:val="48B21FC1"/>
    <w:rsid w:val="48E56510"/>
    <w:rsid w:val="492C262A"/>
    <w:rsid w:val="49402663"/>
    <w:rsid w:val="49520049"/>
    <w:rsid w:val="49755AE6"/>
    <w:rsid w:val="49861AA1"/>
    <w:rsid w:val="49906437"/>
    <w:rsid w:val="49956188"/>
    <w:rsid w:val="499B08FA"/>
    <w:rsid w:val="49C04002"/>
    <w:rsid w:val="49C34AA3"/>
    <w:rsid w:val="49E7505B"/>
    <w:rsid w:val="49F66C27"/>
    <w:rsid w:val="4A385776"/>
    <w:rsid w:val="4A47451B"/>
    <w:rsid w:val="4A4D0811"/>
    <w:rsid w:val="4A895CED"/>
    <w:rsid w:val="4A971A76"/>
    <w:rsid w:val="4A9D4120"/>
    <w:rsid w:val="4AA246B9"/>
    <w:rsid w:val="4AAF6A1F"/>
    <w:rsid w:val="4AC1762A"/>
    <w:rsid w:val="4ACE7C23"/>
    <w:rsid w:val="4B0610EB"/>
    <w:rsid w:val="4B19324D"/>
    <w:rsid w:val="4B1A6945"/>
    <w:rsid w:val="4B227542"/>
    <w:rsid w:val="4B396092"/>
    <w:rsid w:val="4B3C2D5F"/>
    <w:rsid w:val="4B413E11"/>
    <w:rsid w:val="4B4439C2"/>
    <w:rsid w:val="4B6202EC"/>
    <w:rsid w:val="4B7324F9"/>
    <w:rsid w:val="4B7A71BC"/>
    <w:rsid w:val="4B80769F"/>
    <w:rsid w:val="4B9009B5"/>
    <w:rsid w:val="4B9C37FE"/>
    <w:rsid w:val="4BB73B85"/>
    <w:rsid w:val="4BBA5AD8"/>
    <w:rsid w:val="4BCF49BB"/>
    <w:rsid w:val="4BE34F89"/>
    <w:rsid w:val="4BEA1EEF"/>
    <w:rsid w:val="4C115F9A"/>
    <w:rsid w:val="4C15641D"/>
    <w:rsid w:val="4C174804"/>
    <w:rsid w:val="4C2D2C2B"/>
    <w:rsid w:val="4C312198"/>
    <w:rsid w:val="4C52500F"/>
    <w:rsid w:val="4C5F3DA7"/>
    <w:rsid w:val="4CA03F21"/>
    <w:rsid w:val="4CDB65E7"/>
    <w:rsid w:val="4D021355"/>
    <w:rsid w:val="4D027691"/>
    <w:rsid w:val="4D07103C"/>
    <w:rsid w:val="4D0A01A2"/>
    <w:rsid w:val="4D101B13"/>
    <w:rsid w:val="4D396708"/>
    <w:rsid w:val="4D3A507C"/>
    <w:rsid w:val="4D510618"/>
    <w:rsid w:val="4D676C11"/>
    <w:rsid w:val="4D7203DC"/>
    <w:rsid w:val="4D99650A"/>
    <w:rsid w:val="4DB841F3"/>
    <w:rsid w:val="4DBC066D"/>
    <w:rsid w:val="4DBC2F09"/>
    <w:rsid w:val="4DC20868"/>
    <w:rsid w:val="4DC96400"/>
    <w:rsid w:val="4DCA1FB8"/>
    <w:rsid w:val="4DDC11CB"/>
    <w:rsid w:val="4DED20EF"/>
    <w:rsid w:val="4DF01BDF"/>
    <w:rsid w:val="4DF60D20"/>
    <w:rsid w:val="4DFF6221"/>
    <w:rsid w:val="4E0417A8"/>
    <w:rsid w:val="4E094A4F"/>
    <w:rsid w:val="4E1C29D4"/>
    <w:rsid w:val="4E412436"/>
    <w:rsid w:val="4E4A2135"/>
    <w:rsid w:val="4E50267E"/>
    <w:rsid w:val="4E571C5E"/>
    <w:rsid w:val="4E6376C3"/>
    <w:rsid w:val="4E7E2A58"/>
    <w:rsid w:val="4EC779CB"/>
    <w:rsid w:val="4EDE3E37"/>
    <w:rsid w:val="4F0022F6"/>
    <w:rsid w:val="4F222A2E"/>
    <w:rsid w:val="4F3B23F9"/>
    <w:rsid w:val="4F5133BF"/>
    <w:rsid w:val="4F5D1DDE"/>
    <w:rsid w:val="4F6178F6"/>
    <w:rsid w:val="4F6208BA"/>
    <w:rsid w:val="4F6C5B38"/>
    <w:rsid w:val="4F6E54B1"/>
    <w:rsid w:val="4FAE58AE"/>
    <w:rsid w:val="4FC155E1"/>
    <w:rsid w:val="4FF534DD"/>
    <w:rsid w:val="4FFE6835"/>
    <w:rsid w:val="50067498"/>
    <w:rsid w:val="505C7A00"/>
    <w:rsid w:val="505F4FD3"/>
    <w:rsid w:val="506F1AED"/>
    <w:rsid w:val="50737936"/>
    <w:rsid w:val="50AA46D1"/>
    <w:rsid w:val="50AC44E3"/>
    <w:rsid w:val="50B16BBC"/>
    <w:rsid w:val="50B6611B"/>
    <w:rsid w:val="50C20DF3"/>
    <w:rsid w:val="50D30645"/>
    <w:rsid w:val="50D513F6"/>
    <w:rsid w:val="510078F8"/>
    <w:rsid w:val="5107796B"/>
    <w:rsid w:val="51173778"/>
    <w:rsid w:val="512D7CBF"/>
    <w:rsid w:val="512E314A"/>
    <w:rsid w:val="512F097C"/>
    <w:rsid w:val="513A1AEF"/>
    <w:rsid w:val="513D561E"/>
    <w:rsid w:val="51404548"/>
    <w:rsid w:val="517D2AB0"/>
    <w:rsid w:val="51A74CAA"/>
    <w:rsid w:val="51C50319"/>
    <w:rsid w:val="51E219C3"/>
    <w:rsid w:val="51F04E21"/>
    <w:rsid w:val="52004BA4"/>
    <w:rsid w:val="52024F4A"/>
    <w:rsid w:val="520774F7"/>
    <w:rsid w:val="52481FEA"/>
    <w:rsid w:val="52491C87"/>
    <w:rsid w:val="524F604C"/>
    <w:rsid w:val="525E35BB"/>
    <w:rsid w:val="52604AC2"/>
    <w:rsid w:val="528503DA"/>
    <w:rsid w:val="52943481"/>
    <w:rsid w:val="52AD009F"/>
    <w:rsid w:val="52C378C2"/>
    <w:rsid w:val="52EA07DF"/>
    <w:rsid w:val="531E0F9C"/>
    <w:rsid w:val="53430A03"/>
    <w:rsid w:val="53530C46"/>
    <w:rsid w:val="53536E98"/>
    <w:rsid w:val="536A42B3"/>
    <w:rsid w:val="537C7393"/>
    <w:rsid w:val="538057B3"/>
    <w:rsid w:val="53D8114B"/>
    <w:rsid w:val="53E06252"/>
    <w:rsid w:val="53EC109A"/>
    <w:rsid w:val="53F5504D"/>
    <w:rsid w:val="54176117"/>
    <w:rsid w:val="541A1191"/>
    <w:rsid w:val="541C7A55"/>
    <w:rsid w:val="5427219D"/>
    <w:rsid w:val="545033D7"/>
    <w:rsid w:val="54661945"/>
    <w:rsid w:val="546E1AAF"/>
    <w:rsid w:val="547277F2"/>
    <w:rsid w:val="5473336A"/>
    <w:rsid w:val="54821083"/>
    <w:rsid w:val="548D462B"/>
    <w:rsid w:val="5490449A"/>
    <w:rsid w:val="54CC26F2"/>
    <w:rsid w:val="54FA3343"/>
    <w:rsid w:val="54FB6350"/>
    <w:rsid w:val="550C53D9"/>
    <w:rsid w:val="551B5793"/>
    <w:rsid w:val="551B7F9F"/>
    <w:rsid w:val="551F6485"/>
    <w:rsid w:val="55211978"/>
    <w:rsid w:val="553B6208"/>
    <w:rsid w:val="55515EC4"/>
    <w:rsid w:val="5563538C"/>
    <w:rsid w:val="55794BB0"/>
    <w:rsid w:val="55AF2C5A"/>
    <w:rsid w:val="55B160F8"/>
    <w:rsid w:val="55B279C9"/>
    <w:rsid w:val="55CB56FE"/>
    <w:rsid w:val="55FC3817"/>
    <w:rsid w:val="56035647"/>
    <w:rsid w:val="562A53D6"/>
    <w:rsid w:val="56340787"/>
    <w:rsid w:val="56372AA1"/>
    <w:rsid w:val="56535401"/>
    <w:rsid w:val="56537EF1"/>
    <w:rsid w:val="56786C15"/>
    <w:rsid w:val="567A6414"/>
    <w:rsid w:val="567F17E0"/>
    <w:rsid w:val="569544FD"/>
    <w:rsid w:val="56F735F9"/>
    <w:rsid w:val="56FB1D20"/>
    <w:rsid w:val="574216FD"/>
    <w:rsid w:val="574B3310"/>
    <w:rsid w:val="57635F1C"/>
    <w:rsid w:val="57727B09"/>
    <w:rsid w:val="577675F9"/>
    <w:rsid w:val="577B1659"/>
    <w:rsid w:val="57826A2B"/>
    <w:rsid w:val="578E7538"/>
    <w:rsid w:val="579131B3"/>
    <w:rsid w:val="57923D07"/>
    <w:rsid w:val="57AE0B41"/>
    <w:rsid w:val="57B86FFE"/>
    <w:rsid w:val="57D04F5B"/>
    <w:rsid w:val="57DE6F4C"/>
    <w:rsid w:val="57E77262"/>
    <w:rsid w:val="57F9079B"/>
    <w:rsid w:val="57FD3F84"/>
    <w:rsid w:val="58010305"/>
    <w:rsid w:val="58020E8D"/>
    <w:rsid w:val="582A26FC"/>
    <w:rsid w:val="583152CE"/>
    <w:rsid w:val="583156D7"/>
    <w:rsid w:val="586E02D0"/>
    <w:rsid w:val="58810003"/>
    <w:rsid w:val="58967635"/>
    <w:rsid w:val="589A7317"/>
    <w:rsid w:val="58AB1524"/>
    <w:rsid w:val="58AC4EEE"/>
    <w:rsid w:val="58D00F8B"/>
    <w:rsid w:val="58FD1444"/>
    <w:rsid w:val="59090B79"/>
    <w:rsid w:val="591E3AA4"/>
    <w:rsid w:val="593603E8"/>
    <w:rsid w:val="594162A3"/>
    <w:rsid w:val="594B07DF"/>
    <w:rsid w:val="594D0229"/>
    <w:rsid w:val="59576FB6"/>
    <w:rsid w:val="595F60ED"/>
    <w:rsid w:val="5969563F"/>
    <w:rsid w:val="596D0588"/>
    <w:rsid w:val="5979517E"/>
    <w:rsid w:val="59835FFD"/>
    <w:rsid w:val="59861649"/>
    <w:rsid w:val="59AC5554"/>
    <w:rsid w:val="59B47F65"/>
    <w:rsid w:val="59B9557B"/>
    <w:rsid w:val="59D2488F"/>
    <w:rsid w:val="59DB3743"/>
    <w:rsid w:val="5A05464F"/>
    <w:rsid w:val="5A1561AD"/>
    <w:rsid w:val="5A1A3658"/>
    <w:rsid w:val="5A1C0E18"/>
    <w:rsid w:val="5A1D6885"/>
    <w:rsid w:val="5A252C10"/>
    <w:rsid w:val="5A2E6575"/>
    <w:rsid w:val="5A2F601B"/>
    <w:rsid w:val="5A36306F"/>
    <w:rsid w:val="5A4532B2"/>
    <w:rsid w:val="5A5A6D5E"/>
    <w:rsid w:val="5AA47FD9"/>
    <w:rsid w:val="5AA955EF"/>
    <w:rsid w:val="5AB31815"/>
    <w:rsid w:val="5AC62645"/>
    <w:rsid w:val="5ACB37B8"/>
    <w:rsid w:val="5AD1161F"/>
    <w:rsid w:val="5AEA0CA2"/>
    <w:rsid w:val="5AF54CD9"/>
    <w:rsid w:val="5AFF7905"/>
    <w:rsid w:val="5B13515F"/>
    <w:rsid w:val="5B24736C"/>
    <w:rsid w:val="5B445318"/>
    <w:rsid w:val="5B4E4733"/>
    <w:rsid w:val="5B597015"/>
    <w:rsid w:val="5B6204F5"/>
    <w:rsid w:val="5B70610D"/>
    <w:rsid w:val="5B737C94"/>
    <w:rsid w:val="5B7A6F8C"/>
    <w:rsid w:val="5B8A5421"/>
    <w:rsid w:val="5B9444F1"/>
    <w:rsid w:val="5B9833FC"/>
    <w:rsid w:val="5BE32D83"/>
    <w:rsid w:val="5BE80399"/>
    <w:rsid w:val="5BF82228"/>
    <w:rsid w:val="5C0F3B78"/>
    <w:rsid w:val="5C190553"/>
    <w:rsid w:val="5C2C297C"/>
    <w:rsid w:val="5C376CF1"/>
    <w:rsid w:val="5C4C26D6"/>
    <w:rsid w:val="5C7334F0"/>
    <w:rsid w:val="5C89392A"/>
    <w:rsid w:val="5C8D157E"/>
    <w:rsid w:val="5C9532A6"/>
    <w:rsid w:val="5CB1629C"/>
    <w:rsid w:val="5CC07647"/>
    <w:rsid w:val="5CD6211C"/>
    <w:rsid w:val="5CDA23D8"/>
    <w:rsid w:val="5D0E3E30"/>
    <w:rsid w:val="5D4C6254"/>
    <w:rsid w:val="5D63592D"/>
    <w:rsid w:val="5D706898"/>
    <w:rsid w:val="5D7C6FEB"/>
    <w:rsid w:val="5D9A56C3"/>
    <w:rsid w:val="5DA75D48"/>
    <w:rsid w:val="5DBB290C"/>
    <w:rsid w:val="5DD5494D"/>
    <w:rsid w:val="5DE132F2"/>
    <w:rsid w:val="5DEC2753"/>
    <w:rsid w:val="5DF9063C"/>
    <w:rsid w:val="5E0A45F7"/>
    <w:rsid w:val="5E1F0C11"/>
    <w:rsid w:val="5E261785"/>
    <w:rsid w:val="5E5F3229"/>
    <w:rsid w:val="5E677C9B"/>
    <w:rsid w:val="5E6946D5"/>
    <w:rsid w:val="5E8C5954"/>
    <w:rsid w:val="5E9131FE"/>
    <w:rsid w:val="5E9D3D74"/>
    <w:rsid w:val="5EAC1A1F"/>
    <w:rsid w:val="5ED03A93"/>
    <w:rsid w:val="5EF41531"/>
    <w:rsid w:val="5F015B06"/>
    <w:rsid w:val="5F2E35DE"/>
    <w:rsid w:val="5F4042A3"/>
    <w:rsid w:val="5F4C0C3F"/>
    <w:rsid w:val="5F5E109E"/>
    <w:rsid w:val="5F9E76ED"/>
    <w:rsid w:val="5F9F5213"/>
    <w:rsid w:val="5FAD6EA7"/>
    <w:rsid w:val="5FB962D5"/>
    <w:rsid w:val="5FD50C35"/>
    <w:rsid w:val="5FE66795"/>
    <w:rsid w:val="5FED1E6F"/>
    <w:rsid w:val="5FEE0EAB"/>
    <w:rsid w:val="600A6B30"/>
    <w:rsid w:val="600C0AFA"/>
    <w:rsid w:val="60163727"/>
    <w:rsid w:val="601856F1"/>
    <w:rsid w:val="60234E41"/>
    <w:rsid w:val="602837DB"/>
    <w:rsid w:val="60397415"/>
    <w:rsid w:val="60595773"/>
    <w:rsid w:val="60762184"/>
    <w:rsid w:val="608E5142"/>
    <w:rsid w:val="60906FFF"/>
    <w:rsid w:val="609B3C2C"/>
    <w:rsid w:val="60A24FBB"/>
    <w:rsid w:val="60C211B9"/>
    <w:rsid w:val="60E46382"/>
    <w:rsid w:val="60F11A9E"/>
    <w:rsid w:val="61083D56"/>
    <w:rsid w:val="61112C38"/>
    <w:rsid w:val="614B58A7"/>
    <w:rsid w:val="615A5895"/>
    <w:rsid w:val="616D2169"/>
    <w:rsid w:val="61891CD7"/>
    <w:rsid w:val="61E260EE"/>
    <w:rsid w:val="61EB0BE3"/>
    <w:rsid w:val="61FA2BD4"/>
    <w:rsid w:val="620E4CBA"/>
    <w:rsid w:val="621023F8"/>
    <w:rsid w:val="6220263B"/>
    <w:rsid w:val="6232236E"/>
    <w:rsid w:val="625247BE"/>
    <w:rsid w:val="6256605D"/>
    <w:rsid w:val="6263743D"/>
    <w:rsid w:val="6294694F"/>
    <w:rsid w:val="62B114E5"/>
    <w:rsid w:val="62B15989"/>
    <w:rsid w:val="62D60F4C"/>
    <w:rsid w:val="62DF1FCF"/>
    <w:rsid w:val="63170935"/>
    <w:rsid w:val="63253C81"/>
    <w:rsid w:val="63291345"/>
    <w:rsid w:val="632B74E9"/>
    <w:rsid w:val="632E0D88"/>
    <w:rsid w:val="633B6B97"/>
    <w:rsid w:val="636C64C1"/>
    <w:rsid w:val="637A0055"/>
    <w:rsid w:val="63937C6E"/>
    <w:rsid w:val="63A846B4"/>
    <w:rsid w:val="63AB23D8"/>
    <w:rsid w:val="63B46A9F"/>
    <w:rsid w:val="63D63E84"/>
    <w:rsid w:val="63DE59E4"/>
    <w:rsid w:val="63F0428F"/>
    <w:rsid w:val="640D097B"/>
    <w:rsid w:val="642A7BBB"/>
    <w:rsid w:val="64430863"/>
    <w:rsid w:val="648A0240"/>
    <w:rsid w:val="64925346"/>
    <w:rsid w:val="649317EA"/>
    <w:rsid w:val="649A1C14"/>
    <w:rsid w:val="649D0B69"/>
    <w:rsid w:val="64A357A5"/>
    <w:rsid w:val="64B14FF4"/>
    <w:rsid w:val="64B66E90"/>
    <w:rsid w:val="64DE058B"/>
    <w:rsid w:val="64E02555"/>
    <w:rsid w:val="64F30349"/>
    <w:rsid w:val="650F3CBB"/>
    <w:rsid w:val="651641C9"/>
    <w:rsid w:val="653C681E"/>
    <w:rsid w:val="65496CDE"/>
    <w:rsid w:val="65801643"/>
    <w:rsid w:val="659A6BA8"/>
    <w:rsid w:val="65A039E9"/>
    <w:rsid w:val="65A25A5D"/>
    <w:rsid w:val="65FF1F03"/>
    <w:rsid w:val="660B3602"/>
    <w:rsid w:val="660C0830"/>
    <w:rsid w:val="664E39F8"/>
    <w:rsid w:val="668F5FE1"/>
    <w:rsid w:val="669453A6"/>
    <w:rsid w:val="66B17999"/>
    <w:rsid w:val="66B912B0"/>
    <w:rsid w:val="66CB4B3F"/>
    <w:rsid w:val="66CC2311"/>
    <w:rsid w:val="66F549FB"/>
    <w:rsid w:val="66FE3167"/>
    <w:rsid w:val="671309C0"/>
    <w:rsid w:val="6721386F"/>
    <w:rsid w:val="675B5EC3"/>
    <w:rsid w:val="67835BA7"/>
    <w:rsid w:val="679D64DC"/>
    <w:rsid w:val="67A7735B"/>
    <w:rsid w:val="67A86209"/>
    <w:rsid w:val="67AB6E4B"/>
    <w:rsid w:val="67B2296D"/>
    <w:rsid w:val="67B850C4"/>
    <w:rsid w:val="67CC59E3"/>
    <w:rsid w:val="67D872A3"/>
    <w:rsid w:val="67D971F6"/>
    <w:rsid w:val="67E83C27"/>
    <w:rsid w:val="67F2548D"/>
    <w:rsid w:val="680117A9"/>
    <w:rsid w:val="68024591"/>
    <w:rsid w:val="6804655B"/>
    <w:rsid w:val="6808604B"/>
    <w:rsid w:val="681503E6"/>
    <w:rsid w:val="681B08E1"/>
    <w:rsid w:val="68236B4B"/>
    <w:rsid w:val="6826397D"/>
    <w:rsid w:val="683536BE"/>
    <w:rsid w:val="684A6664"/>
    <w:rsid w:val="685C0145"/>
    <w:rsid w:val="68694610"/>
    <w:rsid w:val="688C4A31"/>
    <w:rsid w:val="688F22C8"/>
    <w:rsid w:val="68951E88"/>
    <w:rsid w:val="68953657"/>
    <w:rsid w:val="68A1024E"/>
    <w:rsid w:val="68AE4C2C"/>
    <w:rsid w:val="68B211C7"/>
    <w:rsid w:val="68CD2DF1"/>
    <w:rsid w:val="68DE4FFE"/>
    <w:rsid w:val="68DE51F0"/>
    <w:rsid w:val="68E113B7"/>
    <w:rsid w:val="68E36170"/>
    <w:rsid w:val="68F80968"/>
    <w:rsid w:val="6902540C"/>
    <w:rsid w:val="691E4967"/>
    <w:rsid w:val="69586B5E"/>
    <w:rsid w:val="695A58A7"/>
    <w:rsid w:val="695F5825"/>
    <w:rsid w:val="696D1EDE"/>
    <w:rsid w:val="697D4817"/>
    <w:rsid w:val="69937B96"/>
    <w:rsid w:val="69A27DD9"/>
    <w:rsid w:val="69BB70ED"/>
    <w:rsid w:val="69C75A92"/>
    <w:rsid w:val="69EB79D2"/>
    <w:rsid w:val="69F30635"/>
    <w:rsid w:val="6A325314"/>
    <w:rsid w:val="6A426589"/>
    <w:rsid w:val="6A4A3D0D"/>
    <w:rsid w:val="6A5A06B4"/>
    <w:rsid w:val="6A5B7D1A"/>
    <w:rsid w:val="6A5D2375"/>
    <w:rsid w:val="6A7F636D"/>
    <w:rsid w:val="6A927E4E"/>
    <w:rsid w:val="6AA67D9D"/>
    <w:rsid w:val="6ACB3360"/>
    <w:rsid w:val="6ADC731B"/>
    <w:rsid w:val="6AE83F12"/>
    <w:rsid w:val="6AF26B3F"/>
    <w:rsid w:val="6B003DAF"/>
    <w:rsid w:val="6B063203"/>
    <w:rsid w:val="6B1874A7"/>
    <w:rsid w:val="6B1A2FCA"/>
    <w:rsid w:val="6B376C47"/>
    <w:rsid w:val="6B3C04CC"/>
    <w:rsid w:val="6B6A2B79"/>
    <w:rsid w:val="6B7901B0"/>
    <w:rsid w:val="6B804C2E"/>
    <w:rsid w:val="6B8A4FC9"/>
    <w:rsid w:val="6BB77A32"/>
    <w:rsid w:val="6BBB646B"/>
    <w:rsid w:val="6BE4292B"/>
    <w:rsid w:val="6BE80A7F"/>
    <w:rsid w:val="6BEC061D"/>
    <w:rsid w:val="6C004210"/>
    <w:rsid w:val="6C030E67"/>
    <w:rsid w:val="6C0C59DE"/>
    <w:rsid w:val="6C1C27C1"/>
    <w:rsid w:val="6C4F77F2"/>
    <w:rsid w:val="6C506ACD"/>
    <w:rsid w:val="6C7A503E"/>
    <w:rsid w:val="6C97174C"/>
    <w:rsid w:val="6CC14A1B"/>
    <w:rsid w:val="6CD26C28"/>
    <w:rsid w:val="6CDE676F"/>
    <w:rsid w:val="6D0D3798"/>
    <w:rsid w:val="6D1C7EA3"/>
    <w:rsid w:val="6D325201"/>
    <w:rsid w:val="6D3E7348"/>
    <w:rsid w:val="6D4A4A10"/>
    <w:rsid w:val="6D574DE0"/>
    <w:rsid w:val="6D6261FE"/>
    <w:rsid w:val="6D651C2B"/>
    <w:rsid w:val="6D7C2724"/>
    <w:rsid w:val="6D9C00D3"/>
    <w:rsid w:val="6DAF0D17"/>
    <w:rsid w:val="6DC01176"/>
    <w:rsid w:val="6DC42A14"/>
    <w:rsid w:val="6DCC6E0C"/>
    <w:rsid w:val="6DD23FBE"/>
    <w:rsid w:val="6DE50BDD"/>
    <w:rsid w:val="6DE73827"/>
    <w:rsid w:val="6DE74955"/>
    <w:rsid w:val="6E0B4599"/>
    <w:rsid w:val="6E244480"/>
    <w:rsid w:val="6E63518D"/>
    <w:rsid w:val="6E750C9F"/>
    <w:rsid w:val="6EBA3D3A"/>
    <w:rsid w:val="6ECB3D73"/>
    <w:rsid w:val="6ECC79F3"/>
    <w:rsid w:val="6ECD2434"/>
    <w:rsid w:val="6EDC3D8E"/>
    <w:rsid w:val="6F0D03EB"/>
    <w:rsid w:val="6F280D81"/>
    <w:rsid w:val="6F357F21"/>
    <w:rsid w:val="6F490CF7"/>
    <w:rsid w:val="6F4D3531"/>
    <w:rsid w:val="6F5A1075"/>
    <w:rsid w:val="6F651FD5"/>
    <w:rsid w:val="6F714959"/>
    <w:rsid w:val="6F824A6A"/>
    <w:rsid w:val="6FCD39E2"/>
    <w:rsid w:val="6FDC1B6B"/>
    <w:rsid w:val="6FEA4288"/>
    <w:rsid w:val="6FF70753"/>
    <w:rsid w:val="701632CF"/>
    <w:rsid w:val="7047792D"/>
    <w:rsid w:val="70701516"/>
    <w:rsid w:val="70712DCF"/>
    <w:rsid w:val="707A560C"/>
    <w:rsid w:val="708A15DC"/>
    <w:rsid w:val="70BF7482"/>
    <w:rsid w:val="70C23EF6"/>
    <w:rsid w:val="70D016D0"/>
    <w:rsid w:val="70D04DA6"/>
    <w:rsid w:val="70D62F65"/>
    <w:rsid w:val="70DF2FE4"/>
    <w:rsid w:val="710477DA"/>
    <w:rsid w:val="71422590"/>
    <w:rsid w:val="71484624"/>
    <w:rsid w:val="71641376"/>
    <w:rsid w:val="71A74135"/>
    <w:rsid w:val="71CB4BFC"/>
    <w:rsid w:val="71ED1E0E"/>
    <w:rsid w:val="72001B41"/>
    <w:rsid w:val="72167BAC"/>
    <w:rsid w:val="7218588C"/>
    <w:rsid w:val="721B2E1F"/>
    <w:rsid w:val="721E6F8B"/>
    <w:rsid w:val="722F72D2"/>
    <w:rsid w:val="72334D2B"/>
    <w:rsid w:val="726011AC"/>
    <w:rsid w:val="72676064"/>
    <w:rsid w:val="72702A7D"/>
    <w:rsid w:val="727B15D6"/>
    <w:rsid w:val="72933BE0"/>
    <w:rsid w:val="72C73D9E"/>
    <w:rsid w:val="72DB610A"/>
    <w:rsid w:val="72DD00D4"/>
    <w:rsid w:val="72F5541E"/>
    <w:rsid w:val="73020B34"/>
    <w:rsid w:val="732950C8"/>
    <w:rsid w:val="73337CF4"/>
    <w:rsid w:val="7346211D"/>
    <w:rsid w:val="737E5413"/>
    <w:rsid w:val="73880040"/>
    <w:rsid w:val="73AD7AA7"/>
    <w:rsid w:val="73AE39A4"/>
    <w:rsid w:val="73B70925"/>
    <w:rsid w:val="73C82B32"/>
    <w:rsid w:val="73D33702"/>
    <w:rsid w:val="73D6524F"/>
    <w:rsid w:val="73E5763A"/>
    <w:rsid w:val="73FB4CB6"/>
    <w:rsid w:val="73FC458A"/>
    <w:rsid w:val="74046EC7"/>
    <w:rsid w:val="7407365B"/>
    <w:rsid w:val="74081181"/>
    <w:rsid w:val="740B3585"/>
    <w:rsid w:val="741A00EC"/>
    <w:rsid w:val="74281823"/>
    <w:rsid w:val="7432548D"/>
    <w:rsid w:val="74424693"/>
    <w:rsid w:val="747131CA"/>
    <w:rsid w:val="747E1443"/>
    <w:rsid w:val="748C3B60"/>
    <w:rsid w:val="74A013B9"/>
    <w:rsid w:val="74A764A8"/>
    <w:rsid w:val="74C1353B"/>
    <w:rsid w:val="74C923AE"/>
    <w:rsid w:val="74DB442C"/>
    <w:rsid w:val="74DC6451"/>
    <w:rsid w:val="74E27C24"/>
    <w:rsid w:val="74ED34A7"/>
    <w:rsid w:val="75011D61"/>
    <w:rsid w:val="75041A89"/>
    <w:rsid w:val="7513602F"/>
    <w:rsid w:val="75232D20"/>
    <w:rsid w:val="75310D7E"/>
    <w:rsid w:val="753606CB"/>
    <w:rsid w:val="75371D1E"/>
    <w:rsid w:val="753B2042"/>
    <w:rsid w:val="75532842"/>
    <w:rsid w:val="75555DF6"/>
    <w:rsid w:val="756C554D"/>
    <w:rsid w:val="758B02BC"/>
    <w:rsid w:val="759058D2"/>
    <w:rsid w:val="75D108A5"/>
    <w:rsid w:val="75D87579"/>
    <w:rsid w:val="761050D9"/>
    <w:rsid w:val="761347E5"/>
    <w:rsid w:val="76171B4F"/>
    <w:rsid w:val="7634125E"/>
    <w:rsid w:val="76434411"/>
    <w:rsid w:val="764C7A4B"/>
    <w:rsid w:val="76571F4C"/>
    <w:rsid w:val="766F54E7"/>
    <w:rsid w:val="76991958"/>
    <w:rsid w:val="76B27DE8"/>
    <w:rsid w:val="76D24121"/>
    <w:rsid w:val="76DD1CA6"/>
    <w:rsid w:val="76FA1255"/>
    <w:rsid w:val="77051214"/>
    <w:rsid w:val="77163BB5"/>
    <w:rsid w:val="771E5B78"/>
    <w:rsid w:val="772425CC"/>
    <w:rsid w:val="772C162A"/>
    <w:rsid w:val="778E4093"/>
    <w:rsid w:val="77996CC0"/>
    <w:rsid w:val="779C40BA"/>
    <w:rsid w:val="77EF4B32"/>
    <w:rsid w:val="77F47144"/>
    <w:rsid w:val="77F50488"/>
    <w:rsid w:val="781310E6"/>
    <w:rsid w:val="781E0F73"/>
    <w:rsid w:val="78324A1E"/>
    <w:rsid w:val="783469E8"/>
    <w:rsid w:val="78353A7F"/>
    <w:rsid w:val="783A065C"/>
    <w:rsid w:val="78465F5D"/>
    <w:rsid w:val="78771BF8"/>
    <w:rsid w:val="78847E85"/>
    <w:rsid w:val="78961451"/>
    <w:rsid w:val="789D3194"/>
    <w:rsid w:val="78AA66DD"/>
    <w:rsid w:val="78CF226D"/>
    <w:rsid w:val="78DB50B6"/>
    <w:rsid w:val="78F74CF4"/>
    <w:rsid w:val="79004B1D"/>
    <w:rsid w:val="79183C14"/>
    <w:rsid w:val="791B1956"/>
    <w:rsid w:val="791C3071"/>
    <w:rsid w:val="792E3438"/>
    <w:rsid w:val="79351D9B"/>
    <w:rsid w:val="793D7B1F"/>
    <w:rsid w:val="793F48BF"/>
    <w:rsid w:val="794013BD"/>
    <w:rsid w:val="79646D58"/>
    <w:rsid w:val="79985F6B"/>
    <w:rsid w:val="799B52C3"/>
    <w:rsid w:val="79C2422B"/>
    <w:rsid w:val="79CE0C1F"/>
    <w:rsid w:val="79D10D33"/>
    <w:rsid w:val="79E306C6"/>
    <w:rsid w:val="79E44DF8"/>
    <w:rsid w:val="79E61F64"/>
    <w:rsid w:val="7A0D3B0F"/>
    <w:rsid w:val="7A1B5018"/>
    <w:rsid w:val="7A232871"/>
    <w:rsid w:val="7A262C7B"/>
    <w:rsid w:val="7A2F3077"/>
    <w:rsid w:val="7A2F7467"/>
    <w:rsid w:val="7A4D5DC3"/>
    <w:rsid w:val="7A5619B4"/>
    <w:rsid w:val="7A637111"/>
    <w:rsid w:val="7AB67B89"/>
    <w:rsid w:val="7ADF7905"/>
    <w:rsid w:val="7AE53FCA"/>
    <w:rsid w:val="7AE61B10"/>
    <w:rsid w:val="7AEB08DD"/>
    <w:rsid w:val="7AF05CA5"/>
    <w:rsid w:val="7AF75032"/>
    <w:rsid w:val="7AFFDD96"/>
    <w:rsid w:val="7B046B46"/>
    <w:rsid w:val="7B054762"/>
    <w:rsid w:val="7B093994"/>
    <w:rsid w:val="7B0A3A31"/>
    <w:rsid w:val="7B0F7299"/>
    <w:rsid w:val="7B1F572E"/>
    <w:rsid w:val="7B252618"/>
    <w:rsid w:val="7B2E3BC3"/>
    <w:rsid w:val="7B3648E5"/>
    <w:rsid w:val="7B3C568D"/>
    <w:rsid w:val="7B4E7DC1"/>
    <w:rsid w:val="7B5D6256"/>
    <w:rsid w:val="7B707D38"/>
    <w:rsid w:val="7B711D02"/>
    <w:rsid w:val="7B946F30"/>
    <w:rsid w:val="7BAE6AB2"/>
    <w:rsid w:val="7C140191"/>
    <w:rsid w:val="7C1A4147"/>
    <w:rsid w:val="7C4453CC"/>
    <w:rsid w:val="7C463728"/>
    <w:rsid w:val="7C550D35"/>
    <w:rsid w:val="7C662EC8"/>
    <w:rsid w:val="7C782AF5"/>
    <w:rsid w:val="7C7F11FA"/>
    <w:rsid w:val="7C8B5906"/>
    <w:rsid w:val="7C920181"/>
    <w:rsid w:val="7C945CA8"/>
    <w:rsid w:val="7C9E26E1"/>
    <w:rsid w:val="7CA92EA7"/>
    <w:rsid w:val="7CC55E61"/>
    <w:rsid w:val="7CD479E4"/>
    <w:rsid w:val="7CD965D9"/>
    <w:rsid w:val="7CDE33C7"/>
    <w:rsid w:val="7CED53B8"/>
    <w:rsid w:val="7CF77FE5"/>
    <w:rsid w:val="7CFC2900"/>
    <w:rsid w:val="7CFD17B3"/>
    <w:rsid w:val="7D064084"/>
    <w:rsid w:val="7D0A7D18"/>
    <w:rsid w:val="7D2B7671"/>
    <w:rsid w:val="7D2C004B"/>
    <w:rsid w:val="7D2D3A06"/>
    <w:rsid w:val="7D39684F"/>
    <w:rsid w:val="7D456FA2"/>
    <w:rsid w:val="7D60202E"/>
    <w:rsid w:val="7D815E22"/>
    <w:rsid w:val="7D8D4689"/>
    <w:rsid w:val="7D951C0B"/>
    <w:rsid w:val="7DAC79DD"/>
    <w:rsid w:val="7DB639FC"/>
    <w:rsid w:val="7DB76FD2"/>
    <w:rsid w:val="7DD16A88"/>
    <w:rsid w:val="7DE81186"/>
    <w:rsid w:val="7DE84A5B"/>
    <w:rsid w:val="7E0631F5"/>
    <w:rsid w:val="7E221091"/>
    <w:rsid w:val="7E4E1E86"/>
    <w:rsid w:val="7E661E9D"/>
    <w:rsid w:val="7E680A03"/>
    <w:rsid w:val="7E7F4735"/>
    <w:rsid w:val="7E890B81"/>
    <w:rsid w:val="7E957AB5"/>
    <w:rsid w:val="7EB566D6"/>
    <w:rsid w:val="7EBA0984"/>
    <w:rsid w:val="7ECB618F"/>
    <w:rsid w:val="7ECD36F3"/>
    <w:rsid w:val="7EDC789A"/>
    <w:rsid w:val="7EE50A3C"/>
    <w:rsid w:val="7F1D1EBA"/>
    <w:rsid w:val="7F2826D7"/>
    <w:rsid w:val="7F390D88"/>
    <w:rsid w:val="7F402117"/>
    <w:rsid w:val="7F463E9F"/>
    <w:rsid w:val="7F473A58"/>
    <w:rsid w:val="7FA73F44"/>
    <w:rsid w:val="7FCB5E84"/>
    <w:rsid w:val="7FE17456"/>
    <w:rsid w:val="7FE56A02"/>
    <w:rsid w:val="7FF01447"/>
    <w:rsid w:val="7FFF71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3">
    <w:name w:val="heading 2"/>
    <w:basedOn w:val="1"/>
    <w:next w:val="1"/>
    <w:link w:val="103"/>
    <w:autoRedefine/>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100"/>
    <w:autoRedefine/>
    <w:qFormat/>
    <w:uiPriority w:val="0"/>
    <w:pPr>
      <w:keepNext/>
      <w:keepLines/>
      <w:spacing w:before="260" w:after="260" w:line="416" w:lineRule="auto"/>
      <w:outlineLvl w:val="2"/>
    </w:pPr>
    <w:rPr>
      <w:b/>
      <w:kern w:val="0"/>
      <w:sz w:val="32"/>
      <w:szCs w:val="20"/>
    </w:rPr>
  </w:style>
  <w:style w:type="paragraph" w:styleId="5">
    <w:name w:val="heading 4"/>
    <w:basedOn w:val="1"/>
    <w:next w:val="1"/>
    <w:link w:val="12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6"/>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7"/>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8"/>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9"/>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12"/>
    <w:autoRedefine/>
    <w:qFormat/>
    <w:uiPriority w:val="0"/>
    <w:pPr>
      <w:ind w:firstLine="420"/>
    </w:pPr>
    <w:rPr>
      <w:rFonts w:ascii="宋体"/>
      <w:sz w:val="30"/>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99"/>
    <w:pPr>
      <w:numPr>
        <w:ilvl w:val="0"/>
        <w:numId w:val="1"/>
      </w:numPr>
    </w:pPr>
  </w:style>
  <w:style w:type="paragraph" w:styleId="15">
    <w:name w:val="Document Map"/>
    <w:basedOn w:val="1"/>
    <w:link w:val="157"/>
    <w:autoRedefine/>
    <w:qFormat/>
    <w:uiPriority w:val="0"/>
    <w:pPr>
      <w:shd w:val="clear" w:color="auto" w:fill="000080"/>
    </w:pPr>
    <w:rPr>
      <w:sz w:val="24"/>
      <w:szCs w:val="20"/>
      <w:shd w:val="clear" w:color="auto" w:fill="000080"/>
    </w:rPr>
  </w:style>
  <w:style w:type="paragraph" w:styleId="16">
    <w:name w:val="annotation text"/>
    <w:basedOn w:val="1"/>
    <w:link w:val="109"/>
    <w:autoRedefine/>
    <w:qFormat/>
    <w:uiPriority w:val="0"/>
    <w:pPr>
      <w:jc w:val="left"/>
    </w:pPr>
  </w:style>
  <w:style w:type="paragraph" w:styleId="17">
    <w:name w:val="Body Text 3"/>
    <w:basedOn w:val="1"/>
    <w:link w:val="72"/>
    <w:autoRedefine/>
    <w:qFormat/>
    <w:uiPriority w:val="0"/>
    <w:pPr>
      <w:spacing w:after="120"/>
    </w:pPr>
    <w:rPr>
      <w:kern w:val="0"/>
      <w:sz w:val="16"/>
      <w:szCs w:val="16"/>
    </w:rPr>
  </w:style>
  <w:style w:type="paragraph" w:styleId="18">
    <w:name w:val="Body Text"/>
    <w:basedOn w:val="1"/>
    <w:next w:val="1"/>
    <w:link w:val="73"/>
    <w:autoRedefine/>
    <w:qFormat/>
    <w:uiPriority w:val="0"/>
    <w:pPr>
      <w:spacing w:after="120"/>
    </w:pPr>
  </w:style>
  <w:style w:type="paragraph" w:styleId="19">
    <w:name w:val="Body Text Indent"/>
    <w:basedOn w:val="1"/>
    <w:next w:val="20"/>
    <w:link w:val="325"/>
    <w:autoRedefine/>
    <w:qFormat/>
    <w:uiPriority w:val="0"/>
    <w:pPr>
      <w:spacing w:after="120"/>
      <w:ind w:left="420" w:leftChars="200"/>
    </w:pPr>
  </w:style>
  <w:style w:type="paragraph" w:styleId="20">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24"/>
    <w:next w:val="24"/>
    <w:autoRedefine/>
    <w:qFormat/>
    <w:uiPriority w:val="39"/>
    <w:pPr>
      <w:ind w:left="420"/>
      <w:jc w:val="left"/>
    </w:pPr>
    <w:rPr>
      <w:rFonts w:asciiTheme="minorHAnsi" w:hAnsiTheme="minorHAnsi" w:cstheme="minorHAnsi"/>
      <w:i/>
      <w:iCs/>
      <w:sz w:val="20"/>
      <w:szCs w:val="20"/>
    </w:rPr>
  </w:style>
  <w:style w:type="paragraph" w:customStyle="1" w:styleId="24">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5">
    <w:name w:val="Plain Text"/>
    <w:basedOn w:val="1"/>
    <w:link w:val="99"/>
    <w:autoRedefine/>
    <w:qFormat/>
    <w:uiPriority w:val="0"/>
    <w:rPr>
      <w:rFonts w:ascii="宋体" w:hAnsi="Courier New"/>
      <w:kern w:val="0"/>
      <w:sz w:val="20"/>
      <w:szCs w:val="20"/>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117"/>
    <w:autoRedefine/>
    <w:qFormat/>
    <w:uiPriority w:val="0"/>
    <w:pPr>
      <w:ind w:left="100" w:leftChars="2500"/>
    </w:pPr>
    <w:rPr>
      <w:sz w:val="24"/>
      <w:szCs w:val="20"/>
    </w:rPr>
  </w:style>
  <w:style w:type="paragraph" w:styleId="28">
    <w:name w:val="Body Text Indent 2"/>
    <w:basedOn w:val="1"/>
    <w:link w:val="173"/>
    <w:autoRedefine/>
    <w:qFormat/>
    <w:uiPriority w:val="0"/>
    <w:pPr>
      <w:spacing w:after="120" w:line="480" w:lineRule="auto"/>
      <w:ind w:left="420" w:leftChars="200"/>
    </w:pPr>
    <w:rPr>
      <w:sz w:val="24"/>
      <w:szCs w:val="20"/>
    </w:rPr>
  </w:style>
  <w:style w:type="paragraph" w:styleId="29">
    <w:name w:val="endnote text"/>
    <w:basedOn w:val="1"/>
    <w:link w:val="78"/>
    <w:autoRedefine/>
    <w:qFormat/>
    <w:uiPriority w:val="0"/>
    <w:pPr>
      <w:snapToGrid w:val="0"/>
      <w:jc w:val="left"/>
    </w:pPr>
    <w:rPr>
      <w:b/>
    </w:rPr>
  </w:style>
  <w:style w:type="paragraph" w:styleId="30">
    <w:name w:val="Balloon Text"/>
    <w:basedOn w:val="1"/>
    <w:link w:val="107"/>
    <w:autoRedefine/>
    <w:qFormat/>
    <w:uiPriority w:val="0"/>
    <w:rPr>
      <w:sz w:val="18"/>
      <w:szCs w:val="18"/>
    </w:rPr>
  </w:style>
  <w:style w:type="paragraph" w:styleId="31">
    <w:name w:val="footer"/>
    <w:basedOn w:val="1"/>
    <w:link w:val="92"/>
    <w:autoRedefine/>
    <w:qFormat/>
    <w:uiPriority w:val="99"/>
    <w:pPr>
      <w:tabs>
        <w:tab w:val="center" w:pos="4153"/>
        <w:tab w:val="right" w:pos="8306"/>
      </w:tabs>
      <w:snapToGrid w:val="0"/>
      <w:jc w:val="left"/>
    </w:pPr>
    <w:rPr>
      <w:sz w:val="18"/>
      <w:szCs w:val="18"/>
    </w:rPr>
  </w:style>
  <w:style w:type="paragraph" w:styleId="32">
    <w:name w:val="header"/>
    <w:basedOn w:val="1"/>
    <w:link w:val="9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4">
    <w:name w:val="toc 4"/>
    <w:basedOn w:val="24"/>
    <w:next w:val="24"/>
    <w:autoRedefine/>
    <w:qFormat/>
    <w:uiPriority w:val="39"/>
    <w:pPr>
      <w:ind w:left="630"/>
      <w:jc w:val="left"/>
    </w:pPr>
    <w:rPr>
      <w:rFonts w:asciiTheme="minorHAnsi" w:hAnsiTheme="minorHAnsi" w:cstheme="minorHAnsi"/>
      <w:sz w:val="18"/>
      <w:szCs w:val="18"/>
    </w:rPr>
  </w:style>
  <w:style w:type="paragraph" w:styleId="35">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84"/>
    <w:autoRedefine/>
    <w:qFormat/>
    <w:uiPriority w:val="0"/>
    <w:pPr>
      <w:tabs>
        <w:tab w:val="left" w:pos="1155"/>
      </w:tabs>
      <w:spacing w:line="480" w:lineRule="exact"/>
      <w:ind w:firstLine="420" w:firstLineChars="150"/>
    </w:pPr>
    <w:rPr>
      <w:kern w:val="0"/>
      <w:sz w:val="28"/>
    </w:rPr>
  </w:style>
  <w:style w:type="paragraph" w:styleId="39">
    <w:name w:val="toc 2"/>
    <w:basedOn w:val="1"/>
    <w:next w:val="1"/>
    <w:autoRedefine/>
    <w:qFormat/>
    <w:uiPriority w:val="39"/>
    <w:pPr>
      <w:ind w:left="210"/>
      <w:jc w:val="left"/>
    </w:pPr>
    <w:rPr>
      <w:rFonts w:asciiTheme="minorHAnsi" w:hAnsiTheme="minorHAnsi" w:cstheme="minorHAnsi"/>
      <w:smallCaps/>
      <w:sz w:val="20"/>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85"/>
    <w:autoRedefine/>
    <w:qFormat/>
    <w:uiPriority w:val="0"/>
    <w:pPr>
      <w:spacing w:after="120" w:line="480" w:lineRule="auto"/>
    </w:pPr>
    <w:rPr>
      <w:sz w:val="24"/>
      <w:szCs w:val="20"/>
    </w:rPr>
  </w:style>
  <w:style w:type="paragraph" w:styleId="42">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4">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5">
    <w:name w:val="annotation subject"/>
    <w:basedOn w:val="16"/>
    <w:next w:val="16"/>
    <w:link w:val="110"/>
    <w:autoRedefine/>
    <w:qFormat/>
    <w:uiPriority w:val="0"/>
    <w:rPr>
      <w:b/>
      <w:bCs/>
    </w:rPr>
  </w:style>
  <w:style w:type="paragraph" w:styleId="46">
    <w:name w:val="Body Text First Indent"/>
    <w:basedOn w:val="18"/>
    <w:link w:val="89"/>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47">
    <w:name w:val="Body Text First Indent 2"/>
    <w:basedOn w:val="19"/>
    <w:link w:val="90"/>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basedOn w:val="50"/>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标书正文"/>
    <w:basedOn w:val="1"/>
    <w:autoRedefine/>
    <w:qFormat/>
    <w:uiPriority w:val="0"/>
    <w:pPr>
      <w:adjustRightInd w:val="0"/>
      <w:snapToGrid w:val="0"/>
      <w:spacing w:line="360" w:lineRule="auto"/>
    </w:pPr>
    <w:rPr>
      <w:rFonts w:ascii="宋体" w:hAnsi="宋体" w:eastAsia="新宋体" w:cs="新宋体"/>
      <w:sz w:val="24"/>
      <w:szCs w:val="22"/>
    </w:rPr>
  </w:style>
  <w:style w:type="paragraph" w:customStyle="1" w:styleId="60">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1">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2">
    <w:name w:val="Heading 2 Char"/>
    <w:autoRedefine/>
    <w:qFormat/>
    <w:locked/>
    <w:uiPriority w:val="0"/>
    <w:rPr>
      <w:rFonts w:ascii="Arial" w:hAnsi="Arial" w:eastAsia="黑体" w:cs="Times New Roman"/>
      <w:b/>
      <w:kern w:val="2"/>
      <w:sz w:val="32"/>
      <w:lang w:val="en-US" w:eastAsia="zh-CN"/>
    </w:rPr>
  </w:style>
  <w:style w:type="character" w:customStyle="1" w:styleId="63">
    <w:name w:val="Heading 3 Char"/>
    <w:autoRedefine/>
    <w:qFormat/>
    <w:locked/>
    <w:uiPriority w:val="0"/>
    <w:rPr>
      <w:rFonts w:ascii="Times New Roman" w:hAnsi="Times New Roman" w:eastAsia="宋体" w:cs="Times New Roman"/>
      <w:b/>
      <w:kern w:val="2"/>
      <w:sz w:val="32"/>
    </w:rPr>
  </w:style>
  <w:style w:type="character" w:customStyle="1" w:styleId="64">
    <w:name w:val="Heading 4 Char"/>
    <w:autoRedefine/>
    <w:qFormat/>
    <w:locked/>
    <w:uiPriority w:val="0"/>
    <w:rPr>
      <w:rFonts w:ascii="Arial" w:hAnsi="Arial" w:eastAsia="宋体" w:cs="Times New Roman"/>
      <w:b/>
      <w:kern w:val="2"/>
      <w:sz w:val="28"/>
      <w:lang w:val="en-US" w:eastAsia="zh-CN"/>
    </w:rPr>
  </w:style>
  <w:style w:type="character" w:customStyle="1" w:styleId="65">
    <w:name w:val="Heading 5 Char"/>
    <w:autoRedefine/>
    <w:qFormat/>
    <w:locked/>
    <w:uiPriority w:val="0"/>
    <w:rPr>
      <w:rFonts w:ascii="Times New Roman" w:hAnsi="Times New Roman" w:eastAsia="宋体" w:cs="Times New Roman"/>
      <w:b/>
      <w:kern w:val="2"/>
      <w:sz w:val="28"/>
      <w:lang w:val="en-US" w:eastAsia="zh-CN"/>
    </w:rPr>
  </w:style>
  <w:style w:type="character" w:customStyle="1" w:styleId="66">
    <w:name w:val="标题 6 Char"/>
    <w:link w:val="7"/>
    <w:autoRedefine/>
    <w:qFormat/>
    <w:locked/>
    <w:uiPriority w:val="0"/>
    <w:rPr>
      <w:rFonts w:ascii="Cambria" w:hAnsi="Cambria" w:cs="Times New Roman"/>
      <w:b/>
      <w:bCs/>
      <w:kern w:val="2"/>
      <w:sz w:val="24"/>
      <w:szCs w:val="24"/>
    </w:rPr>
  </w:style>
  <w:style w:type="character" w:customStyle="1" w:styleId="67">
    <w:name w:val="标题 7 Char"/>
    <w:link w:val="8"/>
    <w:autoRedefine/>
    <w:qFormat/>
    <w:locked/>
    <w:uiPriority w:val="0"/>
    <w:rPr>
      <w:rFonts w:ascii="Calibri" w:hAnsi="Calibri" w:cs="Times New Roman"/>
      <w:b/>
      <w:bCs/>
      <w:kern w:val="2"/>
      <w:sz w:val="24"/>
      <w:szCs w:val="24"/>
    </w:rPr>
  </w:style>
  <w:style w:type="character" w:customStyle="1" w:styleId="68">
    <w:name w:val="标题 8 Char"/>
    <w:link w:val="9"/>
    <w:autoRedefine/>
    <w:qFormat/>
    <w:locked/>
    <w:uiPriority w:val="0"/>
    <w:rPr>
      <w:rFonts w:ascii="Cambria" w:hAnsi="Cambria" w:cs="Times New Roman"/>
      <w:kern w:val="2"/>
      <w:sz w:val="24"/>
      <w:szCs w:val="24"/>
    </w:rPr>
  </w:style>
  <w:style w:type="character" w:customStyle="1" w:styleId="69">
    <w:name w:val="标题 9 Char"/>
    <w:link w:val="10"/>
    <w:autoRedefine/>
    <w:qFormat/>
    <w:locked/>
    <w:uiPriority w:val="0"/>
    <w:rPr>
      <w:rFonts w:ascii="Cambria" w:hAnsi="Cambria" w:cs="Times New Roman"/>
      <w:kern w:val="2"/>
      <w:sz w:val="21"/>
      <w:szCs w:val="21"/>
    </w:rPr>
  </w:style>
  <w:style w:type="character" w:customStyle="1" w:styleId="70">
    <w:name w:val="Document Map Char"/>
    <w:autoRedefine/>
    <w:qFormat/>
    <w:locked/>
    <w:uiPriority w:val="0"/>
    <w:rPr>
      <w:rFonts w:ascii="Times New Roman" w:hAnsi="Times New Roman" w:eastAsia="宋体" w:cs="Times New Roman"/>
      <w:kern w:val="2"/>
      <w:sz w:val="24"/>
      <w:lang w:val="en-US" w:eastAsia="zh-CN"/>
    </w:rPr>
  </w:style>
  <w:style w:type="character" w:customStyle="1" w:styleId="71">
    <w:name w:val="Comment Text Char"/>
    <w:autoRedefine/>
    <w:qFormat/>
    <w:locked/>
    <w:uiPriority w:val="0"/>
    <w:rPr>
      <w:rFonts w:ascii="Times New Roman" w:hAnsi="Times New Roman" w:eastAsia="宋体" w:cs="Times New Roman"/>
      <w:sz w:val="24"/>
    </w:rPr>
  </w:style>
  <w:style w:type="character" w:customStyle="1" w:styleId="72">
    <w:name w:val="正文文本 3 Char"/>
    <w:link w:val="17"/>
    <w:autoRedefine/>
    <w:qFormat/>
    <w:locked/>
    <w:uiPriority w:val="0"/>
    <w:rPr>
      <w:rFonts w:cs="Times New Roman"/>
      <w:sz w:val="16"/>
    </w:rPr>
  </w:style>
  <w:style w:type="character" w:customStyle="1" w:styleId="73">
    <w:name w:val="正文文本 Char"/>
    <w:link w:val="18"/>
    <w:autoRedefine/>
    <w:qFormat/>
    <w:locked/>
    <w:uiPriority w:val="0"/>
    <w:rPr>
      <w:rFonts w:cs="Times New Roman"/>
      <w:kern w:val="2"/>
      <w:sz w:val="24"/>
      <w:szCs w:val="24"/>
    </w:rPr>
  </w:style>
  <w:style w:type="character" w:customStyle="1" w:styleId="74">
    <w:name w:val="Body Text Indent Char"/>
    <w:autoRedefine/>
    <w:qFormat/>
    <w:locked/>
    <w:uiPriority w:val="0"/>
    <w:rPr>
      <w:rFonts w:ascii="宋体" w:hAnsi="宋体" w:eastAsia="宋体" w:cs="Times New Roman"/>
      <w:kern w:val="2"/>
      <w:sz w:val="21"/>
      <w:lang w:val="en-US" w:eastAsia="zh-CN"/>
    </w:rPr>
  </w:style>
  <w:style w:type="character" w:customStyle="1" w:styleId="75">
    <w:name w:val="Plain Text Char"/>
    <w:autoRedefine/>
    <w:qFormat/>
    <w:locked/>
    <w:uiPriority w:val="0"/>
    <w:rPr>
      <w:rFonts w:ascii="宋体" w:hAnsi="Courier New" w:eastAsia="宋体" w:cs="Times New Roman"/>
      <w:sz w:val="24"/>
    </w:rPr>
  </w:style>
  <w:style w:type="character" w:customStyle="1" w:styleId="76">
    <w:name w:val="Date Char"/>
    <w:autoRedefine/>
    <w:qFormat/>
    <w:locked/>
    <w:uiPriority w:val="0"/>
    <w:rPr>
      <w:rFonts w:ascii="Times New Roman" w:hAnsi="Times New Roman" w:eastAsia="宋体" w:cs="Times New Roman"/>
      <w:kern w:val="2"/>
      <w:sz w:val="24"/>
      <w:lang w:val="en-US" w:eastAsia="zh-CN"/>
    </w:rPr>
  </w:style>
  <w:style w:type="character" w:customStyle="1" w:styleId="77">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78">
    <w:name w:val="尾注文本 Char1"/>
    <w:link w:val="29"/>
    <w:autoRedefine/>
    <w:qFormat/>
    <w:locked/>
    <w:uiPriority w:val="0"/>
    <w:rPr>
      <w:rFonts w:cs="Times New Roman"/>
      <w:b/>
      <w:kern w:val="2"/>
      <w:sz w:val="24"/>
    </w:rPr>
  </w:style>
  <w:style w:type="character" w:customStyle="1" w:styleId="79">
    <w:name w:val="Balloon Text Char"/>
    <w:autoRedefine/>
    <w:qFormat/>
    <w:locked/>
    <w:uiPriority w:val="0"/>
    <w:rPr>
      <w:rFonts w:ascii="Times New Roman" w:hAnsi="Times New Roman" w:eastAsia="宋体" w:cs="Times New Roman"/>
      <w:sz w:val="18"/>
    </w:rPr>
  </w:style>
  <w:style w:type="character" w:customStyle="1" w:styleId="80">
    <w:name w:val="Footer Char"/>
    <w:autoRedefine/>
    <w:qFormat/>
    <w:locked/>
    <w:uiPriority w:val="0"/>
    <w:rPr>
      <w:rFonts w:ascii="Times New Roman" w:hAnsi="Times New Roman" w:eastAsia="宋体" w:cs="Times New Roman"/>
      <w:kern w:val="2"/>
      <w:sz w:val="18"/>
      <w:lang w:val="en-US" w:eastAsia="zh-CN"/>
    </w:rPr>
  </w:style>
  <w:style w:type="character" w:customStyle="1" w:styleId="81">
    <w:name w:val="Header Char"/>
    <w:autoRedefine/>
    <w:qFormat/>
    <w:locked/>
    <w:uiPriority w:val="0"/>
    <w:rPr>
      <w:rFonts w:ascii="Times New Roman" w:hAnsi="Times New Roman" w:eastAsia="宋体" w:cs="Times New Roman"/>
      <w:kern w:val="2"/>
      <w:sz w:val="18"/>
      <w:lang w:val="en-US" w:eastAsia="zh-CN"/>
    </w:rPr>
  </w:style>
  <w:style w:type="character" w:customStyle="1" w:styleId="82">
    <w:name w:val="副标题 Char"/>
    <w:link w:val="35"/>
    <w:autoRedefine/>
    <w:qFormat/>
    <w:locked/>
    <w:uiPriority w:val="0"/>
    <w:rPr>
      <w:rFonts w:ascii="Cambria" w:hAnsi="Cambria" w:cs="Times New Roman"/>
      <w:b/>
      <w:kern w:val="28"/>
      <w:sz w:val="32"/>
    </w:rPr>
  </w:style>
  <w:style w:type="character" w:customStyle="1" w:styleId="83">
    <w:name w:val="Footnote Text Char"/>
    <w:autoRedefine/>
    <w:qFormat/>
    <w:locked/>
    <w:uiPriority w:val="0"/>
    <w:rPr>
      <w:rFonts w:ascii="Times New Roman" w:hAnsi="Times New Roman" w:eastAsia="宋体" w:cs="Times New Roman"/>
      <w:sz w:val="18"/>
      <w:lang w:val="en-US" w:eastAsia="zh-CN"/>
    </w:rPr>
  </w:style>
  <w:style w:type="character" w:customStyle="1" w:styleId="84">
    <w:name w:val="正文文本缩进 3 Char"/>
    <w:link w:val="38"/>
    <w:autoRedefine/>
    <w:qFormat/>
    <w:locked/>
    <w:uiPriority w:val="0"/>
    <w:rPr>
      <w:rFonts w:cs="Times New Roman"/>
      <w:sz w:val="24"/>
    </w:rPr>
  </w:style>
  <w:style w:type="character" w:customStyle="1" w:styleId="85">
    <w:name w:val="正文文本 2 Char"/>
    <w:link w:val="41"/>
    <w:autoRedefine/>
    <w:qFormat/>
    <w:locked/>
    <w:uiPriority w:val="0"/>
    <w:rPr>
      <w:rFonts w:cs="Times New Roman"/>
      <w:kern w:val="2"/>
      <w:sz w:val="24"/>
    </w:rPr>
  </w:style>
  <w:style w:type="character" w:customStyle="1" w:styleId="86">
    <w:name w:val="HTML 预设格式 Char"/>
    <w:link w:val="42"/>
    <w:autoRedefine/>
    <w:qFormat/>
    <w:locked/>
    <w:uiPriority w:val="0"/>
    <w:rPr>
      <w:rFonts w:ascii="宋体" w:eastAsia="宋体" w:cs="Times New Roman"/>
      <w:sz w:val="24"/>
    </w:rPr>
  </w:style>
  <w:style w:type="character" w:customStyle="1" w:styleId="87">
    <w:name w:val="Title Char"/>
    <w:autoRedefine/>
    <w:qFormat/>
    <w:locked/>
    <w:uiPriority w:val="0"/>
    <w:rPr>
      <w:rFonts w:ascii="Cambria" w:hAnsi="Cambria" w:eastAsia="宋体" w:cs="Times New Roman"/>
      <w:b/>
      <w:sz w:val="32"/>
    </w:rPr>
  </w:style>
  <w:style w:type="character" w:customStyle="1" w:styleId="88">
    <w:name w:val="Comment Subject Char"/>
    <w:autoRedefine/>
    <w:qFormat/>
    <w:locked/>
    <w:uiPriority w:val="0"/>
    <w:rPr>
      <w:rFonts w:ascii="Times New Roman" w:hAnsi="Times New Roman" w:eastAsia="宋体" w:cs="Times New Roman"/>
      <w:b/>
      <w:sz w:val="24"/>
    </w:rPr>
  </w:style>
  <w:style w:type="character" w:customStyle="1" w:styleId="89">
    <w:name w:val="正文首行缩进 Char"/>
    <w:link w:val="46"/>
    <w:autoRedefine/>
    <w:qFormat/>
    <w:locked/>
    <w:uiPriority w:val="0"/>
    <w:rPr>
      <w:rFonts w:cs="Times New Roman"/>
      <w:kern w:val="2"/>
      <w:sz w:val="24"/>
      <w:szCs w:val="24"/>
    </w:rPr>
  </w:style>
  <w:style w:type="character" w:customStyle="1" w:styleId="90">
    <w:name w:val="正文首行缩进 2 Char"/>
    <w:link w:val="47"/>
    <w:autoRedefine/>
    <w:qFormat/>
    <w:locked/>
    <w:uiPriority w:val="0"/>
    <w:rPr>
      <w:rFonts w:ascii="宋体" w:hAnsi="宋体" w:eastAsia="宋体" w:cs="Times New Roman"/>
      <w:kern w:val="2"/>
      <w:sz w:val="24"/>
      <w:lang w:val="en-US" w:eastAsia="zh-CN"/>
    </w:rPr>
  </w:style>
  <w:style w:type="character" w:customStyle="1" w:styleId="91">
    <w:name w:val="页眉 Char"/>
    <w:link w:val="32"/>
    <w:autoRedefine/>
    <w:qFormat/>
    <w:locked/>
    <w:uiPriority w:val="0"/>
    <w:rPr>
      <w:rFonts w:cs="Times New Roman"/>
      <w:sz w:val="18"/>
      <w:szCs w:val="18"/>
    </w:rPr>
  </w:style>
  <w:style w:type="character" w:customStyle="1" w:styleId="92">
    <w:name w:val="页脚 Char"/>
    <w:link w:val="31"/>
    <w:autoRedefine/>
    <w:qFormat/>
    <w:locked/>
    <w:uiPriority w:val="99"/>
    <w:rPr>
      <w:rFonts w:cs="Times New Roman"/>
      <w:sz w:val="18"/>
      <w:szCs w:val="18"/>
    </w:rPr>
  </w:style>
  <w:style w:type="character" w:customStyle="1" w:styleId="93">
    <w:name w:val="标题 1 Char"/>
    <w:autoRedefine/>
    <w:qFormat/>
    <w:uiPriority w:val="0"/>
    <w:rPr>
      <w:rFonts w:ascii="Times New Roman" w:hAnsi="Times New Roman" w:eastAsia="宋体" w:cs="Times New Roman"/>
      <w:b/>
      <w:bCs/>
      <w:kern w:val="44"/>
      <w:sz w:val="44"/>
      <w:szCs w:val="44"/>
    </w:rPr>
  </w:style>
  <w:style w:type="character" w:customStyle="1" w:styleId="94">
    <w:name w:val="标题 2 Char"/>
    <w:autoRedefine/>
    <w:qFormat/>
    <w:uiPriority w:val="9"/>
    <w:rPr>
      <w:rFonts w:ascii="Calibri Light" w:hAnsi="Calibri Light" w:eastAsia="宋体" w:cs="Times New Roman"/>
      <w:b/>
      <w:bCs/>
      <w:sz w:val="32"/>
      <w:szCs w:val="32"/>
    </w:rPr>
  </w:style>
  <w:style w:type="character" w:customStyle="1" w:styleId="95">
    <w:name w:val="标题 3 Char"/>
    <w:autoRedefine/>
    <w:qFormat/>
    <w:uiPriority w:val="0"/>
    <w:rPr>
      <w:rFonts w:ascii="Times New Roman" w:hAnsi="Times New Roman" w:eastAsia="宋体" w:cs="Times New Roman"/>
      <w:b/>
      <w:bCs/>
      <w:sz w:val="32"/>
      <w:szCs w:val="32"/>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Char"/>
    <w:link w:val="43"/>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Char5"/>
    <w:link w:val="25"/>
    <w:autoRedefine/>
    <w:qFormat/>
    <w:locked/>
    <w:uiPriority w:val="99"/>
    <w:rPr>
      <w:rFonts w:ascii="宋体" w:hAnsi="Courier New" w:eastAsia="宋体"/>
    </w:rPr>
  </w:style>
  <w:style w:type="character" w:customStyle="1" w:styleId="100">
    <w:name w:val="标题 3 Char2"/>
    <w:link w:val="4"/>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Char2"/>
    <w:link w:val="2"/>
    <w:autoRedefine/>
    <w:qFormat/>
    <w:locked/>
    <w:uiPriority w:val="99"/>
    <w:rPr>
      <w:rFonts w:ascii="Arial" w:hAnsi="Arial" w:eastAsia="黑体"/>
      <w:b/>
      <w:kern w:val="28"/>
      <w:sz w:val="36"/>
    </w:rPr>
  </w:style>
  <w:style w:type="character" w:customStyle="1" w:styleId="103">
    <w:name w:val="标题 2 Char2"/>
    <w:link w:val="3"/>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styleId="106">
    <w:name w:val="List Paragraph"/>
    <w:basedOn w:val="1"/>
    <w:link w:val="115"/>
    <w:autoRedefine/>
    <w:qFormat/>
    <w:uiPriority w:val="0"/>
    <w:pPr>
      <w:ind w:firstLine="420"/>
    </w:pPr>
    <w:rPr>
      <w:sz w:val="24"/>
      <w:szCs w:val="20"/>
    </w:rPr>
  </w:style>
  <w:style w:type="character" w:customStyle="1" w:styleId="107">
    <w:name w:val="批注框文本 Char"/>
    <w:link w:val="30"/>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Char2"/>
    <w:link w:val="16"/>
    <w:autoRedefine/>
    <w:qFormat/>
    <w:locked/>
    <w:uiPriority w:val="0"/>
    <w:rPr>
      <w:rFonts w:cs="Times New Roman"/>
      <w:kern w:val="2"/>
      <w:sz w:val="24"/>
      <w:szCs w:val="24"/>
    </w:rPr>
  </w:style>
  <w:style w:type="character" w:customStyle="1" w:styleId="110">
    <w:name w:val="批注主题 Char"/>
    <w:link w:val="45"/>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Char"/>
    <w:link w:val="12"/>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出段落 Char"/>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Char"/>
    <w:link w:val="27"/>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Char"/>
    <w:link w:val="5"/>
    <w:autoRedefine/>
    <w:qFormat/>
    <w:locked/>
    <w:uiPriority w:val="0"/>
    <w:rPr>
      <w:rFonts w:ascii="Arial" w:hAnsi="Arial" w:cs="Times New Roman"/>
      <w:b/>
      <w:bCs/>
      <w:kern w:val="2"/>
      <w:sz w:val="28"/>
      <w:szCs w:val="28"/>
    </w:rPr>
  </w:style>
  <w:style w:type="character" w:customStyle="1" w:styleId="122">
    <w:name w:val="标题 5 Char"/>
    <w:link w:val="6"/>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styleId="140">
    <w:name w:val="Quote"/>
    <w:basedOn w:val="1"/>
    <w:next w:val="1"/>
    <w:link w:val="141"/>
    <w:autoRedefine/>
    <w:qFormat/>
    <w:uiPriority w:val="0"/>
    <w:rPr>
      <w:i/>
      <w:color w:val="000000"/>
      <w:kern w:val="0"/>
      <w:sz w:val="20"/>
      <w:szCs w:val="20"/>
    </w:rPr>
  </w:style>
  <w:style w:type="character" w:customStyle="1" w:styleId="141">
    <w:name w:val="引用 Char"/>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Char"/>
    <w:link w:val="15"/>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3"/>
    <w:next w:val="21"/>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Char"/>
    <w:link w:val="28"/>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Char"/>
    <w:link w:val="44"/>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Char"/>
    <w:link w:val="36"/>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Char"/>
    <w:link w:val="261"/>
    <w:autoRedefine/>
    <w:qFormat/>
    <w:locked/>
    <w:uiPriority w:val="0"/>
    <w:rPr>
      <w:kern w:val="2"/>
      <w:sz w:val="24"/>
      <w:lang w:val="en-US" w:eastAsia="zh-CN"/>
    </w:rPr>
  </w:style>
  <w:style w:type="paragraph" w:styleId="261">
    <w:name w:val="No Spacing"/>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styleId="268">
    <w:name w:val="Intense Quote"/>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Char"/>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4"/>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4"/>
    <w:next w:val="24"/>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Char"/>
    <w:link w:val="19"/>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4"/>
    <w:autoRedefine/>
    <w:qFormat/>
    <w:uiPriority w:val="0"/>
    <w:pPr>
      <w:outlineLvl w:val="9"/>
    </w:pPr>
    <w:rPr>
      <w:rFonts w:ascii="Calibri" w:hAnsi="Calibri"/>
    </w:rPr>
  </w:style>
  <w:style w:type="paragraph" w:customStyle="1" w:styleId="335">
    <w:name w:val="正文文本_0"/>
    <w:basedOn w:val="2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4"/>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3"/>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4"/>
    <w:next w:val="24"/>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2"/>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4"/>
    <w:next w:val="24"/>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1">
    <w:name w:val="TOC 标题2"/>
    <w:basedOn w:val="2"/>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2">
    <w:name w:val="Char Char Char Char Char Char Char"/>
    <w:basedOn w:val="1"/>
    <w:autoRedefine/>
    <w:qFormat/>
    <w:uiPriority w:val="0"/>
    <w:pPr>
      <w:widowControl/>
      <w:spacing w:after="160" w:line="240" w:lineRule="exact"/>
      <w:jc w:val="left"/>
    </w:pPr>
  </w:style>
  <w:style w:type="table" w:customStyle="1" w:styleId="363">
    <w:name w:val="Table Normal1"/>
    <w:autoRedefine/>
    <w:qFormat/>
    <w:uiPriority w:val="99"/>
    <w:tblPr>
      <w:tblCellMar>
        <w:top w:w="0" w:type="dxa"/>
        <w:left w:w="0" w:type="dxa"/>
        <w:bottom w:w="0" w:type="dxa"/>
        <w:right w:w="0" w:type="dxa"/>
      </w:tblCellMar>
    </w:tblPr>
  </w:style>
  <w:style w:type="paragraph" w:customStyle="1" w:styleId="36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5">
    <w:name w:val="Table Normal"/>
    <w:autoRedefine/>
    <w:unhideWhenUsed/>
    <w:qFormat/>
    <w:uiPriority w:val="0"/>
    <w:rPr>
      <w:rFonts w:ascii="Calibri" w:hAnsi="Calibri"/>
    </w:rPr>
    <w:tblPr>
      <w:tblCellMar>
        <w:top w:w="0" w:type="dxa"/>
        <w:left w:w="0" w:type="dxa"/>
        <w:bottom w:w="0" w:type="dxa"/>
        <w:right w:w="0" w:type="dxa"/>
      </w:tblCellMar>
    </w:tblPr>
  </w:style>
  <w:style w:type="table" w:customStyle="1" w:styleId="366">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7">
    <w:name w:val="不明显强调2"/>
    <w:autoRedefine/>
    <w:qFormat/>
    <w:uiPriority w:val="0"/>
    <w:rPr>
      <w:i/>
      <w:iCs/>
      <w:color w:val="808080"/>
    </w:rPr>
  </w:style>
  <w:style w:type="character" w:customStyle="1" w:styleId="368">
    <w:name w:val="Quote Char"/>
    <w:autoRedefine/>
    <w:qFormat/>
    <w:uiPriority w:val="0"/>
    <w:rPr>
      <w:i/>
      <w:color w:val="000000"/>
      <w:kern w:val="2"/>
      <w:sz w:val="21"/>
      <w:szCs w:val="24"/>
    </w:rPr>
  </w:style>
  <w:style w:type="character" w:customStyle="1" w:styleId="369">
    <w:name w:val="明显强调3"/>
    <w:autoRedefine/>
    <w:qFormat/>
    <w:uiPriority w:val="0"/>
    <w:rPr>
      <w:b/>
      <w:bCs/>
      <w:i/>
      <w:iCs/>
      <w:color w:val="4F81BD"/>
    </w:rPr>
  </w:style>
  <w:style w:type="character" w:customStyle="1" w:styleId="370">
    <w:name w:val="不明显参考2"/>
    <w:autoRedefine/>
    <w:qFormat/>
    <w:uiPriority w:val="0"/>
    <w:rPr>
      <w:smallCaps/>
      <w:color w:val="C0504D"/>
      <w:u w:val="single"/>
    </w:rPr>
  </w:style>
  <w:style w:type="character" w:customStyle="1" w:styleId="371">
    <w:name w:val="明显参考3"/>
    <w:autoRedefine/>
    <w:qFormat/>
    <w:uiPriority w:val="0"/>
    <w:rPr>
      <w:b/>
      <w:bCs/>
      <w:smallCaps/>
      <w:color w:val="C0504D"/>
      <w:spacing w:val="5"/>
      <w:u w:val="single"/>
    </w:rPr>
  </w:style>
  <w:style w:type="character" w:customStyle="1" w:styleId="372">
    <w:name w:val="书籍标题3"/>
    <w:autoRedefine/>
    <w:qFormat/>
    <w:uiPriority w:val="0"/>
    <w:rPr>
      <w:b/>
      <w:bCs/>
      <w:smallCaps/>
      <w:spacing w:val="5"/>
    </w:rPr>
  </w:style>
  <w:style w:type="character" w:customStyle="1" w:styleId="373">
    <w:name w:val="未处理的提及"/>
    <w:autoRedefine/>
    <w:qFormat/>
    <w:uiPriority w:val="0"/>
    <w:rPr>
      <w:color w:val="808080"/>
      <w:shd w:val="clear" w:color="auto" w:fill="E6E6E6"/>
    </w:rPr>
  </w:style>
  <w:style w:type="paragraph" w:customStyle="1" w:styleId="374">
    <w:name w:val="样式1"/>
    <w:basedOn w:val="1"/>
    <w:next w:val="5"/>
    <w:autoRedefine/>
    <w:qFormat/>
    <w:uiPriority w:val="0"/>
    <w:pPr>
      <w:spacing w:line="360" w:lineRule="auto"/>
      <w:ind w:firstLine="420"/>
    </w:pPr>
    <w:rPr>
      <w:rFonts w:ascii="宋体" w:hAnsi="宋体"/>
      <w:szCs w:val="21"/>
    </w:rPr>
  </w:style>
  <w:style w:type="paragraph" w:customStyle="1" w:styleId="375">
    <w:name w:val="TOC 标题3"/>
    <w:basedOn w:val="2"/>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6">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7">
    <w:name w:val="TOC 标题4"/>
    <w:basedOn w:val="2"/>
    <w:next w:val="1"/>
    <w:autoRedefine/>
    <w:semiHidden/>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paragraph" w:customStyle="1" w:styleId="378">
    <w:name w:val="列表段落"/>
    <w:basedOn w:val="1"/>
    <w:autoRedefine/>
    <w:qFormat/>
    <w:uiPriority w:val="0"/>
    <w:pPr>
      <w:ind w:firstLine="420"/>
    </w:pPr>
    <w:rPr>
      <w:rFonts w:ascii="Calibri" w:hAnsi="Calibri" w:cs="Calibri"/>
      <w:szCs w:val="21"/>
    </w:rPr>
  </w:style>
  <w:style w:type="character" w:customStyle="1" w:styleId="379">
    <w:name w:val="font71"/>
    <w:basedOn w:val="50"/>
    <w:autoRedefine/>
    <w:qFormat/>
    <w:uiPriority w:val="0"/>
    <w:rPr>
      <w:rFonts w:hint="default" w:ascii="Times New Roman" w:hAnsi="Times New Roman" w:cs="Times New Roman"/>
      <w:color w:val="000000"/>
      <w:sz w:val="28"/>
      <w:szCs w:val="28"/>
      <w:u w:val="none"/>
    </w:rPr>
  </w:style>
  <w:style w:type="character" w:customStyle="1" w:styleId="380">
    <w:name w:val="font31"/>
    <w:basedOn w:val="50"/>
    <w:autoRedefine/>
    <w:qFormat/>
    <w:uiPriority w:val="0"/>
    <w:rPr>
      <w:rFonts w:hint="eastAsia" w:ascii="宋体" w:hAnsi="宋体" w:eastAsia="宋体" w:cs="宋体"/>
      <w:color w:val="000000"/>
      <w:sz w:val="20"/>
      <w:szCs w:val="20"/>
      <w:u w:val="none"/>
    </w:rPr>
  </w:style>
  <w:style w:type="character" w:customStyle="1" w:styleId="381">
    <w:name w:val="font41"/>
    <w:basedOn w:val="50"/>
    <w:autoRedefine/>
    <w:qFormat/>
    <w:uiPriority w:val="0"/>
    <w:rPr>
      <w:rFonts w:hint="eastAsia" w:ascii="宋体" w:hAnsi="宋体" w:eastAsia="宋体" w:cs="宋体"/>
      <w:b/>
      <w:bCs/>
      <w:color w:val="000000"/>
      <w:sz w:val="20"/>
      <w:szCs w:val="20"/>
      <w:u w:val="none"/>
    </w:rPr>
  </w:style>
  <w:style w:type="character" w:customStyle="1" w:styleId="382">
    <w:name w:val="font01"/>
    <w:basedOn w:val="50"/>
    <w:autoRedefine/>
    <w:qFormat/>
    <w:uiPriority w:val="0"/>
    <w:rPr>
      <w:rFonts w:hint="default" w:ascii="??" w:hAnsi="??" w:eastAsia="??" w:cs="??"/>
      <w:color w:val="000000"/>
      <w:sz w:val="18"/>
      <w:szCs w:val="18"/>
      <w:u w:val="none"/>
    </w:rPr>
  </w:style>
  <w:style w:type="character" w:customStyle="1" w:styleId="383">
    <w:name w:val="font51"/>
    <w:basedOn w:val="50"/>
    <w:autoRedefine/>
    <w:qFormat/>
    <w:uiPriority w:val="0"/>
    <w:rPr>
      <w:rFonts w:hint="default" w:ascii="??" w:hAnsi="??" w:eastAsia="??" w:cs="??"/>
      <w:b/>
      <w:bCs/>
      <w:color w:val="000000"/>
      <w:sz w:val="18"/>
      <w:szCs w:val="18"/>
      <w:u w:val="none"/>
    </w:rPr>
  </w:style>
  <w:style w:type="character" w:customStyle="1" w:styleId="384">
    <w:name w:val="font21"/>
    <w:basedOn w:val="50"/>
    <w:autoRedefine/>
    <w:qFormat/>
    <w:uiPriority w:val="0"/>
    <w:rPr>
      <w:rFonts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54</Pages>
  <Words>22466</Words>
  <Characters>23628</Characters>
  <Lines>150</Lines>
  <Paragraphs>42</Paragraphs>
  <TotalTime>0</TotalTime>
  <ScaleCrop>false</ScaleCrop>
  <LinksUpToDate>false</LinksUpToDate>
  <CharactersWithSpaces>24159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2021-04-24T23:49:00Z</dcterms:created>
  <dc:creator>刘艳辉</dc:creator>
  <cp:lastModifiedBy>蓓蓓</cp:lastModifiedBy>
  <cp:lastPrinted>2024-01-18T06:51:00Z</cp:lastPrinted>
  <dcterms:modified xsi:type="dcterms:W3CDTF">2025-02-28T06:51:11Z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FBB74D652AC646C1A83A6B291D090379_13</vt:lpwstr>
  </property>
  <property fmtid="{D5CDD505-2E9C-101B-9397-08002B2CF9AE}" pid="4" name="KSOTemplateDocerSaveRecord">
    <vt:lpwstr>eyJoZGlkIjoiMjU4NWMwMmQzNWYzNDUyNWM4MGY3YmNlNzdhYTAzZjQiLCJ1c2VySWQiOiIyMjU5NzQ1NzcifQ==</vt:lpwstr>
  </property>
</Properties>
</file>