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64882"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江苏方洋水务有限公司2025年下半年副产盐酸采购项目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任务书</w:t>
      </w:r>
    </w:p>
    <w:p w14:paraId="10C8A0ED"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5C0F8BB">
      <w:pPr>
        <w:spacing w:line="480" w:lineRule="exact"/>
        <w:ind w:firstLine="480" w:firstLineChars="200"/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一、质量要求</w:t>
      </w:r>
    </w:p>
    <w:p w14:paraId="7193A3C9">
      <w:pPr>
        <w:spacing w:line="480" w:lineRule="exact"/>
        <w:ind w:firstLine="480" w:firstLineChars="200"/>
        <w:rPr>
          <w:rFonts w:ascii="Times New Roman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1.副产盐酸用于污水处理，处理工艺包含生物系统、</w:t>
      </w:r>
      <w:r>
        <w:rPr>
          <w:rFonts w:hint="eastAsia" w:ascii="Times New Roman" w:hAnsi="Times New Roman" w:eastAsia="方正仿宋_GBK"/>
          <w:sz w:val="24"/>
          <w:szCs w:val="24"/>
        </w:rPr>
        <w:t>双</w:t>
      </w:r>
      <w:r>
        <w:rPr>
          <w:rFonts w:ascii="Times New Roman" w:hAnsi="Times New Roman" w:eastAsia="方正仿宋_GBK"/>
          <w:sz w:val="24"/>
          <w:szCs w:val="24"/>
        </w:rPr>
        <w:t>膜系统，副产盐酸中不得含</w:t>
      </w:r>
      <w:r>
        <w:rPr>
          <w:rFonts w:ascii="Times New Roman" w:hAnsi="Times New Roman" w:eastAsia="方正仿宋_GBK" w:cs="Times New Roman"/>
          <w:sz w:val="24"/>
          <w:szCs w:val="24"/>
        </w:rPr>
        <w:t>有毒有害物质以及重金属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如苯类、</w:t>
      </w:r>
      <w:r>
        <w:rPr>
          <w:rFonts w:ascii="Times New Roman" w:hAnsi="Times New Roman" w:eastAsia="方正仿宋_GBK" w:cs="Times New Roman"/>
          <w:sz w:val="24"/>
          <w:szCs w:val="24"/>
        </w:rPr>
        <w:t>硫化物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氰化物、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硝基苯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、</w:t>
      </w:r>
      <w:r>
        <w:rPr>
          <w:rFonts w:ascii="Times New Roman" w:hAnsi="Times New Roman" w:eastAsia="方正仿宋_GBK" w:cs="Times New Roman"/>
          <w:sz w:val="24"/>
          <w:szCs w:val="24"/>
        </w:rPr>
        <w:t>铜、锌、铅、镍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铬、汞、镉、农药、硅类盐、油脂类、烃类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）</w:t>
      </w:r>
      <w:r>
        <w:rPr>
          <w:rFonts w:ascii="Times New Roman" w:hAnsi="Times New Roman" w:eastAsia="方正仿宋_GBK" w:cs="Times New Roman"/>
          <w:sz w:val="24"/>
          <w:szCs w:val="24"/>
        </w:rPr>
        <w:t>影响水处理工艺。</w:t>
      </w:r>
    </w:p>
    <w:p w14:paraId="2BD4C1ED">
      <w:pPr>
        <w:spacing w:line="480" w:lineRule="exact"/>
        <w:ind w:firstLine="480" w:firstLineChars="200"/>
        <w:rPr>
          <w:rFonts w:hint="eastAsia" w:ascii="Times New Roman" w:hAnsi="Times New Roman" w:eastAsia="方正仿宋_GBK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/>
          <w:sz w:val="24"/>
          <w:szCs w:val="24"/>
        </w:rPr>
        <w:t>2.所提供产品为副产盐酸，</w:t>
      </w:r>
      <w:r>
        <w:rPr>
          <w:rFonts w:hint="eastAsia" w:ascii="Times New Roman" w:hAnsi="Times New Roman" w:eastAsia="方正仿宋_GBK"/>
          <w:b/>
          <w:bCs/>
          <w:sz w:val="24"/>
          <w:szCs w:val="24"/>
        </w:rPr>
        <w:t>不得为废酸</w:t>
      </w:r>
      <w:r>
        <w:rPr>
          <w:rFonts w:hint="eastAsia" w:ascii="Times New Roman" w:hAnsi="Times New Roman" w:eastAsia="方正仿宋_GBK"/>
          <w:sz w:val="24"/>
          <w:szCs w:val="24"/>
        </w:rPr>
        <w:t>。需提供副产酸生产来源的环保合规文件，不得混入其他有机物或危险废物，符合相关环保要求</w:t>
      </w:r>
      <w:r>
        <w:rPr>
          <w:rFonts w:hint="eastAsia" w:ascii="Times New Roman" w:hAnsi="Times New Roman" w:eastAsia="方正仿宋_GBK"/>
          <w:sz w:val="24"/>
          <w:szCs w:val="24"/>
          <w:lang w:eastAsia="zh-CN"/>
        </w:rPr>
        <w:t>。</w:t>
      </w:r>
    </w:p>
    <w:p w14:paraId="4B028127">
      <w:pPr>
        <w:spacing w:line="480" w:lineRule="exact"/>
        <w:ind w:firstLine="480" w:firstLineChars="200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3</w:t>
      </w:r>
      <w:r>
        <w:rPr>
          <w:rFonts w:ascii="Times New Roman" w:hAnsi="Times New Roman" w:eastAsia="方正仿宋_GBK"/>
          <w:sz w:val="24"/>
          <w:szCs w:val="24"/>
        </w:rPr>
        <w:t>.指标要求</w:t>
      </w:r>
    </w:p>
    <w:p w14:paraId="0607EF36">
      <w:pPr>
        <w:spacing w:line="480" w:lineRule="exact"/>
        <w:ind w:firstLine="480" w:firstLineChars="200"/>
        <w:rPr>
          <w:rFonts w:hint="eastAsia"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所提供的副产盐酸符合《工业用合成盐酸》GB 320-2006合格品要求，且</w:t>
      </w:r>
      <w:r>
        <w:rPr>
          <w:rFonts w:ascii="Times New Roman" w:hAnsi="Times New Roman" w:eastAsia="方正仿宋_GBK"/>
          <w:sz w:val="24"/>
          <w:szCs w:val="24"/>
        </w:rPr>
        <w:t>不得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对</w:t>
      </w:r>
      <w:r>
        <w:rPr>
          <w:rFonts w:ascii="Times New Roman" w:hAnsi="Times New Roman" w:eastAsia="方正仿宋_GBK"/>
          <w:sz w:val="24"/>
          <w:szCs w:val="24"/>
        </w:rPr>
        <w:t>生物系统、</w:t>
      </w:r>
      <w:r>
        <w:rPr>
          <w:rFonts w:hint="eastAsia" w:ascii="Times New Roman" w:hAnsi="Times New Roman" w:eastAsia="方正仿宋_GBK"/>
          <w:sz w:val="24"/>
          <w:szCs w:val="24"/>
        </w:rPr>
        <w:t>双</w:t>
      </w:r>
      <w:r>
        <w:rPr>
          <w:rFonts w:ascii="Times New Roman" w:hAnsi="Times New Roman" w:eastAsia="方正仿宋_GBK"/>
          <w:sz w:val="24"/>
          <w:szCs w:val="24"/>
        </w:rPr>
        <w:t>膜系统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造成影响，并且指标要求</w:t>
      </w:r>
      <w:r>
        <w:rPr>
          <w:rFonts w:hint="eastAsia" w:ascii="Times New Roman" w:hAnsi="Times New Roman" w:eastAsia="方正仿宋_GBK"/>
          <w:sz w:val="24"/>
          <w:szCs w:val="24"/>
        </w:rPr>
        <w:t>：</w:t>
      </w:r>
    </w:p>
    <w:p w14:paraId="4389F704">
      <w:pPr>
        <w:spacing w:line="480" w:lineRule="exact"/>
        <w:ind w:firstLine="480" w:firstLineChars="200"/>
        <w:rPr>
          <w:rFonts w:hint="eastAsia" w:ascii="Times New Roman" w:hAnsi="Times New Roman" w:eastAsia="方正仿宋_GBK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方正仿宋_GBK"/>
          <w:sz w:val="24"/>
          <w:szCs w:val="24"/>
        </w:rPr>
        <w:t>应为无色或浅黄色透明液体</w:t>
      </w:r>
      <w:r>
        <w:rPr>
          <w:rFonts w:hint="eastAsia" w:ascii="Times New Roman" w:hAnsi="Times New Roman" w:eastAsia="方正仿宋_GBK"/>
          <w:sz w:val="24"/>
          <w:szCs w:val="24"/>
          <w:lang w:eastAsia="zh-CN"/>
        </w:rPr>
        <w:t>；</w:t>
      </w:r>
    </w:p>
    <w:p w14:paraId="444AF9CD">
      <w:pPr>
        <w:spacing w:line="480" w:lineRule="exact"/>
        <w:ind w:firstLine="480" w:firstLineChars="200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（2）</w:t>
      </w:r>
      <w:r>
        <w:rPr>
          <w:rFonts w:ascii="Times New Roman" w:hAnsi="Times New Roman" w:eastAsia="方正仿宋_GBK"/>
          <w:sz w:val="24"/>
          <w:szCs w:val="24"/>
        </w:rPr>
        <w:t>总酸度（以HCl计）的质量分数≧31</w:t>
      </w:r>
      <w:r>
        <w:rPr>
          <w:rFonts w:hint="eastAsia" w:ascii="Times New Roman" w:hAnsi="Times New Roman" w:eastAsia="方正仿宋_GBK"/>
          <w:sz w:val="24"/>
          <w:szCs w:val="24"/>
        </w:rPr>
        <w:t>.0</w:t>
      </w:r>
      <w:r>
        <w:rPr>
          <w:rFonts w:ascii="Times New Roman" w:hAnsi="Times New Roman" w:eastAsia="方正仿宋_GBK"/>
          <w:sz w:val="24"/>
          <w:szCs w:val="24"/>
        </w:rPr>
        <w:t>%；</w:t>
      </w:r>
    </w:p>
    <w:p w14:paraId="54D3AE53">
      <w:pPr>
        <w:spacing w:line="480" w:lineRule="exact"/>
        <w:ind w:firstLine="480" w:firstLineChars="200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（3）</w:t>
      </w:r>
      <w:r>
        <w:rPr>
          <w:rFonts w:ascii="Times New Roman" w:hAnsi="Times New Roman" w:eastAsia="方正仿宋_GBK"/>
          <w:sz w:val="24"/>
          <w:szCs w:val="24"/>
        </w:rPr>
        <w:t>游离氯</w:t>
      </w:r>
      <w:r>
        <w:rPr>
          <w:rFonts w:hint="eastAsia" w:ascii="Times New Roman" w:hAnsi="Times New Roman" w:eastAsia="方正仿宋_GBK"/>
          <w:sz w:val="24"/>
          <w:szCs w:val="24"/>
        </w:rPr>
        <w:t>（</w:t>
      </w:r>
      <w:r>
        <w:rPr>
          <w:rFonts w:ascii="Times New Roman" w:hAnsi="Times New Roman" w:eastAsia="方正仿宋_GBK"/>
          <w:sz w:val="24"/>
          <w:szCs w:val="24"/>
        </w:rPr>
        <w:t>以Cl计</w:t>
      </w:r>
      <w:r>
        <w:rPr>
          <w:rFonts w:hint="eastAsia" w:ascii="Times New Roman" w:hAnsi="Times New Roman" w:eastAsia="方正仿宋_GBK"/>
          <w:sz w:val="24"/>
          <w:szCs w:val="24"/>
        </w:rPr>
        <w:t>）</w:t>
      </w:r>
      <w:r>
        <w:rPr>
          <w:rFonts w:ascii="Times New Roman" w:hAnsi="Times New Roman" w:eastAsia="方正仿宋_GBK"/>
          <w:sz w:val="24"/>
          <w:szCs w:val="24"/>
        </w:rPr>
        <w:t>的质量分数≦0.01%；</w:t>
      </w:r>
    </w:p>
    <w:p w14:paraId="574F6BC4">
      <w:pPr>
        <w:spacing w:line="480" w:lineRule="exact"/>
        <w:ind w:firstLine="480" w:firstLineChars="200"/>
        <w:rPr>
          <w:rFonts w:hint="eastAsia" w:ascii="Times New Roman" w:hAnsi="Times New Roman" w:eastAsia="方正仿宋_GBK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砷的质量分数</w:t>
      </w:r>
      <w:r>
        <w:rPr>
          <w:rFonts w:ascii="Times New Roman" w:hAnsi="Times New Roman" w:eastAsia="方正仿宋_GBK"/>
          <w:sz w:val="24"/>
          <w:szCs w:val="24"/>
          <w:highlight w:val="none"/>
        </w:rPr>
        <w:t>≦</w:t>
      </w:r>
      <w:r>
        <w:rPr>
          <w:rFonts w:hint="eastAsia" w:ascii="Times New Roman" w:hAnsi="Times New Roman" w:eastAsia="方正仿宋_GBK"/>
          <w:sz w:val="24"/>
          <w:szCs w:val="24"/>
          <w:highlight w:val="none"/>
          <w:lang w:val="en-US" w:eastAsia="zh-CN"/>
        </w:rPr>
        <w:t>0.0001%；</w:t>
      </w:r>
    </w:p>
    <w:p w14:paraId="217D5C32">
      <w:pPr>
        <w:spacing w:line="480" w:lineRule="exact"/>
        <w:ind w:firstLine="480" w:firstLineChars="200"/>
        <w:rPr>
          <w:rFonts w:hint="default" w:ascii="Times New Roman" w:hAnsi="Times New Roman" w:eastAsia="方正仿宋_GBK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24"/>
          <w:szCs w:val="24"/>
          <w:highlight w:val="none"/>
          <w:lang w:val="en-US" w:eastAsia="zh-CN"/>
        </w:rPr>
        <w:t>（5）灼烧残渣质量分数</w:t>
      </w:r>
      <w:r>
        <w:rPr>
          <w:rFonts w:ascii="Times New Roman" w:hAnsi="Times New Roman" w:eastAsia="方正仿宋_GBK"/>
          <w:sz w:val="24"/>
          <w:szCs w:val="24"/>
        </w:rPr>
        <w:t>≦0.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15</w:t>
      </w:r>
      <w:r>
        <w:rPr>
          <w:rFonts w:ascii="Times New Roman" w:hAnsi="Times New Roman" w:eastAsia="方正仿宋_GBK"/>
          <w:sz w:val="24"/>
          <w:szCs w:val="24"/>
        </w:rPr>
        <w:t>%；</w:t>
      </w:r>
    </w:p>
    <w:p w14:paraId="7F9D9E91">
      <w:pPr>
        <w:spacing w:line="480" w:lineRule="exact"/>
        <w:ind w:firstLine="480" w:firstLineChars="200"/>
        <w:rPr>
          <w:rFonts w:hint="eastAsia" w:ascii="Times New Roman" w:hAnsi="Times New Roman" w:eastAsia="方正仿宋_GBK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/>
          <w:sz w:val="24"/>
          <w:szCs w:val="24"/>
        </w:rPr>
        <w:t>（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24"/>
          <w:szCs w:val="24"/>
        </w:rPr>
        <w:t>）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铁的质量分数</w:t>
      </w:r>
      <w:r>
        <w:rPr>
          <w:rFonts w:ascii="Times New Roman" w:hAnsi="Times New Roman" w:eastAsia="方正仿宋_GBK"/>
          <w:sz w:val="24"/>
          <w:szCs w:val="24"/>
          <w:highlight w:val="none"/>
        </w:rPr>
        <w:t>≦</w:t>
      </w:r>
      <w:r>
        <w:rPr>
          <w:rFonts w:hint="eastAsia" w:ascii="Times New Roman" w:hAnsi="Times New Roman" w:eastAsia="方正仿宋_GBK"/>
          <w:sz w:val="24"/>
          <w:szCs w:val="24"/>
          <w:highlight w:val="none"/>
          <w:lang w:val="en-US" w:eastAsia="zh-CN"/>
        </w:rPr>
        <w:t>0.002%</w:t>
      </w:r>
      <w:r>
        <w:rPr>
          <w:rFonts w:hint="eastAsia" w:ascii="Times New Roman" w:hAnsi="Times New Roman" w:eastAsia="方正仿宋_GBK"/>
          <w:sz w:val="24"/>
          <w:szCs w:val="24"/>
          <w:lang w:eastAsia="zh-CN"/>
        </w:rPr>
        <w:t>；</w:t>
      </w:r>
    </w:p>
    <w:p w14:paraId="5446E092">
      <w:pPr>
        <w:spacing w:line="480" w:lineRule="exact"/>
        <w:ind w:firstLine="480" w:firstLineChars="200"/>
        <w:rPr>
          <w:rFonts w:ascii="Times New Roman" w:hAnsi="Times New Roman" w:eastAsia="方正仿宋_GBK"/>
          <w:sz w:val="24"/>
          <w:szCs w:val="24"/>
          <w:highlight w:val="none"/>
        </w:rPr>
      </w:pPr>
      <w:r>
        <w:rPr>
          <w:rFonts w:hint="eastAsia" w:ascii="Times New Roman" w:hAnsi="Times New Roman" w:eastAsia="方正仿宋_GBK"/>
          <w:sz w:val="24"/>
          <w:szCs w:val="24"/>
          <w:highlight w:val="none"/>
        </w:rPr>
        <w:t>（</w:t>
      </w:r>
      <w:r>
        <w:rPr>
          <w:rFonts w:hint="eastAsia" w:ascii="Times New Roman" w:hAnsi="Times New Roman" w:eastAsia="方正仿宋_GBK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24"/>
          <w:szCs w:val="24"/>
          <w:highlight w:val="none"/>
        </w:rPr>
        <w:t>）硫酸盐（以SO</w:t>
      </w:r>
      <w:r>
        <w:rPr>
          <w:rFonts w:hint="eastAsia" w:ascii="Times New Roman" w:hAnsi="Times New Roman" w:eastAsia="方正仿宋_GBK"/>
          <w:sz w:val="24"/>
          <w:szCs w:val="24"/>
          <w:highlight w:val="none"/>
          <w:vertAlign w:val="subscript"/>
        </w:rPr>
        <w:t>4</w:t>
      </w:r>
      <w:r>
        <w:rPr>
          <w:rFonts w:hint="eastAsia" w:ascii="Times New Roman" w:hAnsi="Times New Roman" w:eastAsia="方正仿宋_GBK"/>
          <w:sz w:val="24"/>
          <w:szCs w:val="24"/>
          <w:highlight w:val="none"/>
          <w:vertAlign w:val="superscript"/>
        </w:rPr>
        <w:t>2-</w:t>
      </w:r>
      <w:r>
        <w:rPr>
          <w:rFonts w:hint="eastAsia" w:ascii="Times New Roman" w:hAnsi="Times New Roman" w:eastAsia="方正仿宋_GBK"/>
          <w:sz w:val="24"/>
          <w:szCs w:val="24"/>
          <w:highlight w:val="none"/>
        </w:rPr>
        <w:t>计）</w:t>
      </w:r>
      <w:r>
        <w:rPr>
          <w:rFonts w:ascii="Times New Roman" w:hAnsi="Times New Roman" w:eastAsia="方正仿宋_GBK"/>
          <w:sz w:val="24"/>
          <w:szCs w:val="24"/>
          <w:highlight w:val="none"/>
        </w:rPr>
        <w:t>的质量分数≦0.</w:t>
      </w:r>
      <w:r>
        <w:rPr>
          <w:rFonts w:hint="eastAsia" w:ascii="Times New Roman" w:hAnsi="Times New Roman" w:eastAsia="方正仿宋_GBK"/>
          <w:sz w:val="24"/>
          <w:szCs w:val="24"/>
          <w:highlight w:val="none"/>
        </w:rPr>
        <w:t>03</w:t>
      </w:r>
      <w:r>
        <w:rPr>
          <w:rFonts w:ascii="Times New Roman" w:hAnsi="Times New Roman" w:eastAsia="方正仿宋_GBK"/>
          <w:sz w:val="24"/>
          <w:szCs w:val="24"/>
          <w:highlight w:val="none"/>
        </w:rPr>
        <w:t>%；</w:t>
      </w:r>
    </w:p>
    <w:p w14:paraId="6DCA3A5C">
      <w:pPr>
        <w:spacing w:line="480" w:lineRule="exact"/>
        <w:ind w:firstLine="480" w:firstLineChars="200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（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24"/>
          <w:szCs w:val="24"/>
        </w:rPr>
        <w:t>）重金属（以Pb计）</w:t>
      </w:r>
      <w:r>
        <w:rPr>
          <w:rFonts w:ascii="Times New Roman" w:hAnsi="Times New Roman" w:eastAsia="方正仿宋_GBK"/>
          <w:sz w:val="24"/>
          <w:szCs w:val="24"/>
        </w:rPr>
        <w:t>≦</w:t>
      </w:r>
      <w:r>
        <w:rPr>
          <w:rFonts w:hint="eastAsia" w:ascii="Times New Roman" w:hAnsi="Times New Roman" w:eastAsia="方正仿宋_GBK"/>
          <w:sz w:val="24"/>
          <w:szCs w:val="24"/>
        </w:rPr>
        <w:t>0.005%</w:t>
      </w:r>
      <w:r>
        <w:rPr>
          <w:rFonts w:ascii="Times New Roman" w:hAnsi="Times New Roman" w:eastAsia="方正仿宋_GBK"/>
          <w:sz w:val="24"/>
          <w:szCs w:val="24"/>
        </w:rPr>
        <w:t>；</w:t>
      </w:r>
    </w:p>
    <w:p w14:paraId="27D1407D">
      <w:pPr>
        <w:spacing w:line="480" w:lineRule="exact"/>
        <w:ind w:firstLine="480" w:firstLineChars="200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（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24"/>
          <w:szCs w:val="24"/>
        </w:rPr>
        <w:t>）</w:t>
      </w:r>
      <w:r>
        <w:rPr>
          <w:rFonts w:ascii="Times New Roman" w:hAnsi="Times New Roman" w:eastAsia="方正仿宋_GBK"/>
          <w:sz w:val="24"/>
          <w:szCs w:val="24"/>
        </w:rPr>
        <w:t>TOC≦400mg/L；</w:t>
      </w:r>
    </w:p>
    <w:p w14:paraId="57D26B73">
      <w:pPr>
        <w:spacing w:line="480" w:lineRule="exact"/>
        <w:ind w:firstLine="480" w:firstLineChars="200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（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24"/>
          <w:szCs w:val="24"/>
        </w:rPr>
        <w:t>）</w:t>
      </w:r>
      <w:r>
        <w:rPr>
          <w:rFonts w:ascii="Times New Roman" w:hAnsi="Times New Roman" w:eastAsia="方正仿宋_GBK"/>
          <w:sz w:val="24"/>
          <w:szCs w:val="24"/>
        </w:rPr>
        <w:t>Al≦0.1mg/L；</w:t>
      </w:r>
    </w:p>
    <w:p w14:paraId="3CE82C4E">
      <w:pPr>
        <w:spacing w:line="480" w:lineRule="exact"/>
        <w:ind w:firstLine="480" w:firstLineChars="200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（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11</w:t>
      </w:r>
      <w:r>
        <w:rPr>
          <w:rFonts w:hint="eastAsia" w:ascii="Times New Roman" w:hAnsi="Times New Roman" w:eastAsia="方正仿宋_GBK"/>
          <w:sz w:val="24"/>
          <w:szCs w:val="24"/>
        </w:rPr>
        <w:t>）总磷</w:t>
      </w:r>
      <w:r>
        <w:rPr>
          <w:rFonts w:ascii="Times New Roman" w:hAnsi="Times New Roman" w:eastAsia="方正仿宋_GBK"/>
          <w:sz w:val="24"/>
          <w:szCs w:val="24"/>
        </w:rPr>
        <w:t>≦0.1mg/L</w:t>
      </w:r>
    </w:p>
    <w:p w14:paraId="1837CDD5">
      <w:pPr>
        <w:spacing w:line="480" w:lineRule="exact"/>
        <w:ind w:firstLine="480" w:firstLineChars="200"/>
        <w:rPr>
          <w:rFonts w:hint="default" w:ascii="Times New Roman" w:hAnsi="Times New Roman" w:eastAsia="方正仿宋_GBK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方正仿宋_GBK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Times New Roman" w:hAnsi="Times New Roman" w:eastAsia="方正仿宋_GBK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TDS</w:t>
      </w:r>
      <w:r>
        <w:rPr>
          <w:rFonts w:ascii="Times New Roman" w:hAnsi="Times New Roman" w:eastAsia="方正仿宋_GBK"/>
          <w:color w:val="auto"/>
          <w:sz w:val="24"/>
          <w:szCs w:val="24"/>
          <w:highlight w:val="none"/>
        </w:rPr>
        <w:t>≦</w:t>
      </w:r>
      <w:r>
        <w:rPr>
          <w:rFonts w:hint="eastAsia" w:ascii="Times New Roman" w:hAnsi="Times New Roman" w:eastAsia="方正仿宋_GBK"/>
          <w:color w:val="auto"/>
          <w:sz w:val="24"/>
          <w:szCs w:val="24"/>
          <w:highlight w:val="none"/>
          <w:lang w:val="en-US" w:eastAsia="zh-CN"/>
        </w:rPr>
        <w:t>1000</w:t>
      </w:r>
      <w:r>
        <w:rPr>
          <w:rFonts w:ascii="Times New Roman" w:hAnsi="Times New Roman" w:eastAsia="方正仿宋_GBK"/>
          <w:sz w:val="24"/>
          <w:szCs w:val="24"/>
          <w:highlight w:val="none"/>
        </w:rPr>
        <w:t>mg/L</w:t>
      </w:r>
    </w:p>
    <w:p w14:paraId="21E362DA">
      <w:pPr>
        <w:spacing w:line="480" w:lineRule="exact"/>
        <w:ind w:firstLine="480" w:firstLineChars="200"/>
        <w:rPr>
          <w:rFonts w:hint="eastAsia"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Times New Roman" w:hAnsi="Times New Roman" w:eastAsia="方正仿宋_GBK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/>
          <w:sz w:val="24"/>
          <w:szCs w:val="24"/>
          <w:highlight w:val="none"/>
        </w:rPr>
        <w:t>浊</w:t>
      </w:r>
      <w:r>
        <w:rPr>
          <w:rFonts w:hint="eastAsia" w:ascii="Times New Roman" w:hAnsi="Times New Roman" w:eastAsia="方正仿宋_GBK"/>
          <w:sz w:val="24"/>
          <w:szCs w:val="24"/>
        </w:rPr>
        <w:t>度≤10NTU</w:t>
      </w:r>
    </w:p>
    <w:p w14:paraId="58B5CA82">
      <w:pPr>
        <w:spacing w:line="480" w:lineRule="exact"/>
        <w:ind w:firstLine="480" w:firstLineChars="200"/>
        <w:rPr>
          <w:rFonts w:hint="eastAsia" w:ascii="Times New Roman" w:hAnsi="Times New Roman" w:eastAsia="方正仿宋_GBK"/>
          <w:color w:val="auto"/>
          <w:sz w:val="24"/>
          <w:szCs w:val="24"/>
          <w:highlight w:val="yellow"/>
          <w:lang w:eastAsia="zh-CN"/>
        </w:rPr>
      </w:pPr>
      <w:r>
        <w:rPr>
          <w:rFonts w:hint="eastAsia" w:ascii="Times New Roman" w:hAnsi="Times New Roman" w:eastAsia="方正仿宋_GBK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14</w:t>
      </w:r>
      <w:r>
        <w:rPr>
          <w:rFonts w:hint="eastAsia" w:ascii="Times New Roman" w:hAnsi="Times New Roman" w:eastAsia="方正仿宋_GBK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氟化物</w:t>
      </w:r>
      <w:r>
        <w:rPr>
          <w:rFonts w:ascii="Times New Roman" w:hAnsi="Times New Roman" w:eastAsia="方正仿宋_GBK"/>
          <w:color w:val="auto"/>
          <w:sz w:val="24"/>
          <w:szCs w:val="24"/>
          <w:highlight w:val="none"/>
        </w:rPr>
        <w:t>≦</w:t>
      </w:r>
      <w:r>
        <w:rPr>
          <w:rFonts w:hint="eastAsia" w:eastAsia="方正仿宋_GBK"/>
          <w:color w:val="auto"/>
          <w:sz w:val="24"/>
          <w:szCs w:val="24"/>
          <w:highlight w:val="none"/>
          <w:lang w:val="en-US" w:eastAsia="zh-CN"/>
        </w:rPr>
        <w:t>10</w:t>
      </w:r>
      <w:bookmarkStart w:id="0" w:name="_GoBack"/>
      <w:bookmarkEnd w:id="0"/>
      <w:r>
        <w:rPr>
          <w:rFonts w:ascii="Times New Roman" w:hAnsi="Times New Roman" w:eastAsia="方正仿宋_GBK"/>
          <w:sz w:val="24"/>
          <w:szCs w:val="24"/>
          <w:highlight w:val="none"/>
        </w:rPr>
        <w:t>mg/L</w:t>
      </w:r>
    </w:p>
    <w:p w14:paraId="6ACA27ED">
      <w:pPr>
        <w:spacing w:line="480" w:lineRule="exact"/>
        <w:ind w:firstLine="480" w:firstLineChars="200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4.检测方法</w:t>
      </w:r>
    </w:p>
    <w:p w14:paraId="36717DB8">
      <w:pPr>
        <w:spacing w:line="48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总酸度</w:t>
      </w:r>
      <w:r>
        <w:rPr>
          <w:rFonts w:hint="eastAsia" w:ascii="Times New Roman" w:hAnsi="Times New Roman" w:eastAsia="方正仿宋_GBK" w:cs="Times New Roman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游离氯</w:t>
      </w:r>
      <w:r>
        <w:rPr>
          <w:rFonts w:hint="eastAsia" w:ascii="Times New Roman" w:hAnsi="Times New Roman" w:eastAsia="方正仿宋_GBK" w:cs="Times New Roman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砷、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灼烧残渣、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铁</w:t>
      </w:r>
      <w:r>
        <w:rPr>
          <w:rFonts w:hint="eastAsia" w:ascii="Times New Roman" w:hAnsi="Times New Roman" w:eastAsia="方正仿宋_GBK" w:cs="Times New Roman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硫酸盐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按照GB 320-2006，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重金属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Pb按照HG/T 3783-2021，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TOC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检测方法按照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HJ 501-2009</w:t>
      </w:r>
      <w:r>
        <w:rPr>
          <w:rFonts w:hint="eastAsia" w:ascii="Times New Roman" w:hAnsi="Times New Roman" w:eastAsia="方正仿宋_GBK" w:cs="Times New Roman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Al按照HJ 776-2015，总磷按照GB 11893-89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，TDS按照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 w:bidi="ar-SA"/>
        </w:rPr>
        <w:t>水和废水监测分析方法、氟化物按照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HJ 84-2016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。</w:t>
      </w:r>
    </w:p>
    <w:p w14:paraId="1E01C3C1">
      <w:pPr>
        <w:spacing w:line="480" w:lineRule="exact"/>
        <w:ind w:firstLine="480" w:firstLineChars="200"/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二、运输要求</w:t>
      </w:r>
    </w:p>
    <w:p w14:paraId="5CC4663C">
      <w:pPr>
        <w:spacing w:line="480" w:lineRule="exact"/>
        <w:ind w:firstLine="480" w:firstLineChars="200"/>
        <w:rPr>
          <w:rFonts w:hint="eastAsia" w:ascii="Times New Roman" w:hAnsi="Times New Roman" w:eastAsia="方正仿宋_GBK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1.需求量：2万吨（预估数量，</w:t>
      </w:r>
      <w:r>
        <w:rPr>
          <w:rFonts w:hint="eastAsia" w:ascii="Times New Roman" w:hAnsi="Times New Roman" w:eastAsia="方正仿宋_GBK" w:cs="Times New Roman"/>
          <w:bCs w:val="0"/>
          <w:sz w:val="24"/>
          <w:szCs w:val="24"/>
        </w:rPr>
        <w:t>采购人不承诺数量，以实际数量为准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）。</w:t>
      </w: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槽罐车运输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30吨/车次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。</w:t>
      </w:r>
    </w:p>
    <w:p w14:paraId="3E0FAB0E">
      <w:pPr>
        <w:spacing w:line="480" w:lineRule="exact"/>
        <w:ind w:firstLine="480" w:firstLineChars="200"/>
        <w:rPr>
          <w:rFonts w:hint="eastAsia" w:ascii="Times New Roman" w:hAnsi="Times New Roman" w:eastAsia="方正仿宋_GBK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送货地点：连云港徐圩新区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江苏方洋水务有限公司各厂区储罐。</w:t>
      </w:r>
    </w:p>
    <w:p w14:paraId="17DB939C">
      <w:pPr>
        <w:spacing w:line="480" w:lineRule="exact"/>
        <w:ind w:firstLine="480" w:firstLineChars="200"/>
        <w:rPr>
          <w:rFonts w:hint="eastAsia" w:ascii="Times New Roman" w:hAnsi="Times New Roman" w:eastAsia="方正仿宋_GBK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3.检测要求：由双方在现场对到厂药剂进行取样封存，频次为1次/车次，同时甲方对取样样品药剂进行抽检(检测机构由甲方指定)，检测指标和方法见质量要求。卖方应提供货源厂家出厂证明、货源厂家检测报告复印件等药剂相关质量检测证明。</w:t>
      </w:r>
    </w:p>
    <w:p w14:paraId="60B104B8">
      <w:pPr>
        <w:spacing w:line="480" w:lineRule="exact"/>
        <w:ind w:firstLine="480" w:firstLineChars="200"/>
        <w:rPr>
          <w:rFonts w:hint="default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24"/>
          <w:szCs w:val="24"/>
          <w:lang w:val="en-US" w:eastAsia="zh-CN"/>
        </w:rPr>
        <w:t>三、供货管理要求</w:t>
      </w:r>
    </w:p>
    <w:p w14:paraId="41FDE190">
      <w:pPr>
        <w:spacing w:line="480" w:lineRule="exact"/>
        <w:ind w:firstLine="480" w:firstLineChars="200"/>
        <w:rPr>
          <w:rFonts w:hint="default" w:ascii="Times New Roman" w:hAnsi="Times New Roman" w:eastAsia="方正仿宋_GBK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数量为预估数量，实际需求以买方实际使用量为准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。</w:t>
      </w:r>
    </w:p>
    <w:p w14:paraId="23CC5DAD">
      <w:pPr>
        <w:spacing w:line="480" w:lineRule="exact"/>
        <w:ind w:firstLine="480" w:firstLineChars="200"/>
        <w:rPr>
          <w:rFonts w:hint="default" w:ascii="Times New Roman" w:hAnsi="Times New Roman" w:eastAsia="方正仿宋_GBK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供货货源必须为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报价清单和</w:t>
      </w: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合同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签订中的货源厂家</w:t>
      </w: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，未经甲方同意，不得随意更换。</w:t>
      </w:r>
    </w:p>
    <w:p w14:paraId="590DDD74">
      <w:pPr>
        <w:spacing w:line="480" w:lineRule="exact"/>
        <w:ind w:firstLine="480" w:firstLineChars="200"/>
        <w:rPr>
          <w:rFonts w:hint="default" w:ascii="Times New Roman" w:hAnsi="Times New Roman" w:eastAsia="方正仿宋_GBK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现场药剂卸货时必须严格遵守安全原则，卸料人员穿戴规范防护服、安全帽、护目镜等，</w:t>
      </w:r>
      <w:r>
        <w:rPr>
          <w:rFonts w:hint="eastAsia" w:eastAsia="方正仿宋_GBK"/>
          <w:sz w:val="24"/>
          <w:szCs w:val="24"/>
          <w:lang w:val="en-US" w:eastAsia="zh-CN"/>
        </w:rPr>
        <w:t>卸货前确保车辆熄火并将钥匙拔下，车下放置车辆止滑器，将卸货点用警戒线围好后</w:t>
      </w: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，</w:t>
      </w:r>
      <w:r>
        <w:rPr>
          <w:rFonts w:hint="eastAsia" w:eastAsia="方正仿宋_GBK"/>
          <w:sz w:val="24"/>
          <w:szCs w:val="24"/>
          <w:lang w:val="en-US" w:eastAsia="zh-CN"/>
        </w:rPr>
        <w:t>连接卸货管道，卸货期间押运员不允许离开卸货现场。</w:t>
      </w: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运输及卸料人员不得随意走动，不得拍照。</w:t>
      </w:r>
    </w:p>
    <w:p w14:paraId="7A0F0DFF">
      <w:pPr>
        <w:spacing w:line="480" w:lineRule="exact"/>
        <w:ind w:firstLine="480" w:firstLineChars="200"/>
        <w:rPr>
          <w:rFonts w:hint="default" w:ascii="Times New Roman" w:hAnsi="Times New Roman" w:eastAsia="方正仿宋_GBK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按照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任务书</w:t>
      </w: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要求提供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副产</w:t>
      </w: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盐酸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。</w:t>
      </w:r>
    </w:p>
    <w:p w14:paraId="4610C64E">
      <w:pPr>
        <w:spacing w:line="480" w:lineRule="exact"/>
        <w:ind w:firstLine="480" w:firstLineChars="200"/>
        <w:rPr>
          <w:rFonts w:hint="default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24"/>
          <w:szCs w:val="24"/>
          <w:lang w:val="en-US" w:eastAsia="zh-CN"/>
        </w:rPr>
        <w:t>四、服务管理要求</w:t>
      </w:r>
    </w:p>
    <w:p w14:paraId="2FCF0EE1">
      <w:pPr>
        <w:spacing w:line="480" w:lineRule="exact"/>
        <w:ind w:firstLine="480" w:firstLineChars="200"/>
        <w:rPr>
          <w:rFonts w:hint="default" w:ascii="Times New Roman" w:hAnsi="Times New Roman" w:eastAsia="方正仿宋_GBK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对于其它没有列入合同任务书中技术资料清单，涉及到生产及相关检查所必需文件和资料，卖方应及时免费提供;</w:t>
      </w:r>
    </w:p>
    <w:p w14:paraId="22B1468D">
      <w:pPr>
        <w:spacing w:line="480" w:lineRule="exact"/>
        <w:ind w:firstLine="480" w:firstLineChars="200"/>
        <w:rPr>
          <w:rFonts w:hint="default" w:ascii="Times New Roman" w:hAnsi="Times New Roman" w:eastAsia="方正仿宋_GBK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依据买方要求，卖方应在合同签订后向买方提供技术培训，包括药品现场存放、安全处置等相关操作。</w:t>
      </w:r>
    </w:p>
    <w:p w14:paraId="5BD4E10D">
      <w:pPr>
        <w:spacing w:line="480" w:lineRule="exact"/>
        <w:ind w:firstLine="480" w:firstLineChars="200"/>
        <w:rPr>
          <w:rFonts w:hint="default" w:ascii="Times New Roman" w:hAnsi="Times New Roman" w:eastAsia="方正仿宋_GBK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卖方要保证货物供应，若双方出现争议问题，要以保障买方实际生产为第一原则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。</w:t>
      </w:r>
    </w:p>
    <w:p w14:paraId="203378D9">
      <w:pPr>
        <w:spacing w:line="480" w:lineRule="exact"/>
        <w:ind w:firstLine="480" w:firstLineChars="200"/>
        <w:rPr>
          <w:rFonts w:hint="default" w:ascii="Times New Roman" w:hAnsi="Times New Roman" w:eastAsia="方正仿宋_GBK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买方收货地点于连云港市徐圩新区石化基地园区内，因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副产</w:t>
      </w:r>
      <w:r>
        <w:rPr>
          <w:rFonts w:hint="default" w:ascii="Times New Roman" w:hAnsi="Times New Roman" w:eastAsia="方正仿宋_GBK"/>
          <w:sz w:val="24"/>
          <w:szCs w:val="24"/>
          <w:lang w:val="en-US" w:eastAsia="zh-CN"/>
        </w:rPr>
        <w:t>盐酸属于危险化学品，出于安全管理考虑，卖方应配合甲方实行园区运输车辆管理办法。</w:t>
      </w:r>
    </w:p>
    <w:p w14:paraId="54238E17">
      <w:pPr>
        <w:pStyle w:val="4"/>
        <w:spacing w:line="480" w:lineRule="exact"/>
        <w:ind w:left="0" w:leftChars="0" w:firstLine="480" w:firstLineChars="200"/>
      </w:pPr>
      <w:r>
        <w:rPr>
          <w:rFonts w:hint="eastAsia" w:ascii="Times New Roman" w:hAnsi="Times New Roman" w:eastAsia="方正仿宋_GBK" w:cs="Times New Roman"/>
          <w:b w:val="0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b w:val="0"/>
          <w:sz w:val="24"/>
          <w:szCs w:val="24"/>
        </w:rPr>
        <w:t>因甲方生产需求变更，甲方有权随时暂停或解除本协议。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5293F"/>
    <w:rsid w:val="5CAC584C"/>
    <w:rsid w:val="6440442C"/>
    <w:rsid w:val="69EA1635"/>
    <w:rsid w:val="6E4A2AE0"/>
    <w:rsid w:val="70A7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"/>
    <w:basedOn w:val="1"/>
    <w:next w:val="4"/>
    <w:uiPriority w:val="0"/>
    <w:pPr>
      <w:spacing w:after="120"/>
    </w:pPr>
    <w:rPr>
      <w:szCs w:val="24"/>
    </w:rPr>
  </w:style>
  <w:style w:type="paragraph" w:styleId="4">
    <w:name w:val="toc 2"/>
    <w:basedOn w:val="1"/>
    <w:next w:val="1"/>
    <w:uiPriority w:val="39"/>
    <w:pPr>
      <w:ind w:left="420" w:left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yxd</cp:lastModifiedBy>
  <dcterms:modified xsi:type="dcterms:W3CDTF">2025-06-27T09:34:46Z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E6C5E81C4A1C40D2938C64A0703B81C9</vt:lpwstr>
  </property>
  <property fmtid="{D5CDD505-2E9C-101B-9397-08002B2CF9AE}" pid="4" name="KSOTemplateDocerSaveRecord">
    <vt:lpwstr>eyJoZGlkIjoiZGNkM2I1Y2JlOWY0NDViMTJjOWQwMGI3ZjRkYmY5M2UiLCJ1c2VySWQiOiI1NjAyOTEyMTIifQ==</vt:lpwstr>
  </property>
</Properties>
</file>