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D44C">
      <w:pPr>
        <w:widowControl/>
        <w:spacing w:line="400" w:lineRule="atLeast"/>
        <w:ind w:firstLine="803"/>
        <w:jc w:val="center"/>
        <w:rPr>
          <w:b/>
          <w:bCs/>
          <w:color w:val="000000" w:themeColor="text1"/>
          <w:sz w:val="40"/>
          <w:szCs w:val="40"/>
          <w14:textFill>
            <w14:solidFill>
              <w14:schemeClr w14:val="tx1"/>
            </w14:solidFill>
          </w14:textFill>
        </w:rPr>
      </w:pPr>
      <w:bookmarkStart w:id="0" w:name="_Hlk67315894"/>
      <w:bookmarkStart w:id="1" w:name="_Toc185182814"/>
    </w:p>
    <w:bookmarkEnd w:id="0"/>
    <w:p w14:paraId="1091E19B">
      <w:pPr>
        <w:widowControl/>
        <w:wordWrap w:val="0"/>
        <w:spacing w:line="400" w:lineRule="atLeast"/>
        <w:ind w:firstLine="420"/>
        <w:rPr>
          <w:color w:val="000000" w:themeColor="text1"/>
          <w:kern w:val="0"/>
          <w:szCs w:val="21"/>
          <w14:textFill>
            <w14:solidFill>
              <w14:schemeClr w14:val="tx1"/>
            </w14:solidFill>
          </w14:textFill>
        </w:rPr>
      </w:pPr>
    </w:p>
    <w:p w14:paraId="1D70888E">
      <w:pPr>
        <w:widowControl/>
        <w:wordWrap w:val="0"/>
        <w:spacing w:line="400" w:lineRule="atLeast"/>
        <w:ind w:firstLine="0" w:firstLineChars="0"/>
        <w:jc w:val="center"/>
        <w:rPr>
          <w:rFonts w:hint="eastAsia" w:eastAsia="宋体"/>
          <w:color w:val="000000" w:themeColor="text1"/>
          <w:lang w:eastAsia="zh-CN"/>
          <w14:textFill>
            <w14:solidFill>
              <w14:schemeClr w14:val="tx1"/>
            </w14:solidFill>
          </w14:textFill>
        </w:rPr>
      </w:pPr>
      <w:r>
        <w:rPr>
          <w:rFonts w:hint="eastAsia"/>
          <w:b/>
          <w:bCs/>
          <w:color w:val="000000" w:themeColor="text1"/>
          <w:kern w:val="0"/>
          <w:sz w:val="48"/>
          <w:szCs w:val="48"/>
          <w:u w:val="single"/>
          <w:lang w:eastAsia="zh-CN"/>
          <w14:textFill>
            <w14:solidFill>
              <w14:schemeClr w14:val="tx1"/>
            </w14:solidFill>
          </w14:textFill>
        </w:rPr>
        <w:t>徐圩新区增量配电网输配电线路防外破改造施工回流线采购</w:t>
      </w:r>
    </w:p>
    <w:p w14:paraId="0BF0A198">
      <w:pPr>
        <w:pStyle w:val="18"/>
        <w:ind w:firstLine="420"/>
        <w:rPr>
          <w:color w:val="000000" w:themeColor="text1"/>
          <w14:textFill>
            <w14:solidFill>
              <w14:schemeClr w14:val="tx1"/>
            </w14:solidFill>
          </w14:textFill>
        </w:rPr>
      </w:pPr>
    </w:p>
    <w:p w14:paraId="0E70723A">
      <w:pPr>
        <w:pStyle w:val="18"/>
        <w:ind w:firstLine="420"/>
        <w:rPr>
          <w:color w:val="000000" w:themeColor="text1"/>
          <w14:textFill>
            <w14:solidFill>
              <w14:schemeClr w14:val="tx1"/>
            </w14:solidFill>
          </w14:textFill>
        </w:rPr>
      </w:pPr>
    </w:p>
    <w:p w14:paraId="2479BEAD">
      <w:pPr>
        <w:pStyle w:val="18"/>
        <w:ind w:firstLine="420"/>
        <w:rPr>
          <w:color w:val="000000" w:themeColor="text1"/>
          <w14:textFill>
            <w14:solidFill>
              <w14:schemeClr w14:val="tx1"/>
            </w14:solidFill>
          </w14:textFill>
        </w:rPr>
      </w:pPr>
    </w:p>
    <w:p w14:paraId="2A76FA58">
      <w:pPr>
        <w:pStyle w:val="18"/>
        <w:ind w:firstLine="420"/>
        <w:rPr>
          <w:color w:val="000000" w:themeColor="text1"/>
          <w14:textFill>
            <w14:solidFill>
              <w14:schemeClr w14:val="tx1"/>
            </w14:solidFill>
          </w14:textFill>
        </w:rPr>
      </w:pPr>
    </w:p>
    <w:p w14:paraId="1F2EEDE7">
      <w:pPr>
        <w:pStyle w:val="18"/>
        <w:ind w:firstLine="420"/>
        <w:rPr>
          <w:color w:val="000000" w:themeColor="text1"/>
          <w14:textFill>
            <w14:solidFill>
              <w14:schemeClr w14:val="tx1"/>
            </w14:solidFill>
          </w14:textFill>
        </w:rPr>
      </w:pPr>
    </w:p>
    <w:p w14:paraId="2CC613E0">
      <w:pPr>
        <w:widowControl/>
        <w:wordWrap w:val="0"/>
        <w:spacing w:line="400" w:lineRule="atLeast"/>
        <w:ind w:firstLine="0" w:firstLineChars="0"/>
        <w:jc w:val="center"/>
        <w:rPr>
          <w:rFonts w:eastAsiaTheme="majorEastAsia"/>
          <w:b/>
          <w:bCs/>
          <w:color w:val="000000" w:themeColor="text1"/>
          <w:kern w:val="0"/>
          <w:sz w:val="24"/>
          <w:u w:val="single"/>
          <w14:textFill>
            <w14:solidFill>
              <w14:schemeClr w14:val="tx1"/>
            </w14:solidFill>
          </w14:textFill>
        </w:rPr>
      </w:pPr>
      <w:r>
        <w:rPr>
          <w:rFonts w:eastAsiaTheme="majorEastAsia"/>
          <w:b/>
          <w:bCs/>
          <w:color w:val="000000" w:themeColor="text1"/>
          <w:kern w:val="0"/>
          <w:sz w:val="72"/>
          <w14:textFill>
            <w14:solidFill>
              <w14:schemeClr w14:val="tx1"/>
            </w14:solidFill>
          </w14:textFill>
        </w:rPr>
        <w:t>竞争性谈判文件</w:t>
      </w:r>
    </w:p>
    <w:p w14:paraId="36EBBB40">
      <w:pPr>
        <w:pStyle w:val="363"/>
        <w:spacing w:line="400" w:lineRule="atLeast"/>
        <w:ind w:firstLine="964" w:firstLineChars="300"/>
        <w:jc w:val="center"/>
        <w:rPr>
          <w:rFonts w:ascii="Times New Roman" w:hAnsi="Times New Roman" w:eastAsia="黑体"/>
          <w:b/>
          <w:bCs/>
          <w:color w:val="000000" w:themeColor="text1"/>
          <w:sz w:val="32"/>
          <w14:textFill>
            <w14:solidFill>
              <w14:schemeClr w14:val="tx1"/>
            </w14:solidFill>
          </w14:textFill>
        </w:rPr>
      </w:pPr>
    </w:p>
    <w:p w14:paraId="6B6B2B3B">
      <w:pPr>
        <w:pStyle w:val="18"/>
        <w:ind w:firstLine="420"/>
        <w:rPr>
          <w:color w:val="000000" w:themeColor="text1"/>
          <w14:textFill>
            <w14:solidFill>
              <w14:schemeClr w14:val="tx1"/>
            </w14:solidFill>
          </w14:textFill>
        </w:rPr>
      </w:pPr>
    </w:p>
    <w:p w14:paraId="67AA555B">
      <w:pPr>
        <w:pStyle w:val="18"/>
        <w:ind w:firstLine="420"/>
        <w:rPr>
          <w:color w:val="000000" w:themeColor="text1"/>
          <w14:textFill>
            <w14:solidFill>
              <w14:schemeClr w14:val="tx1"/>
            </w14:solidFill>
          </w14:textFill>
        </w:rPr>
      </w:pPr>
    </w:p>
    <w:p w14:paraId="7543536E">
      <w:pPr>
        <w:pStyle w:val="2"/>
        <w:ind w:left="0" w:leftChars="0" w:firstLine="0" w:firstLineChars="0"/>
        <w:rPr>
          <w:rFonts w:ascii="Times New Roman" w:hAnsi="Times New Roman"/>
        </w:rPr>
      </w:pPr>
    </w:p>
    <w:p w14:paraId="704F343C">
      <w:pPr>
        <w:widowControl/>
        <w:wordWrap w:val="0"/>
        <w:spacing w:line="400" w:lineRule="atLeast"/>
        <w:ind w:firstLine="420"/>
        <w:jc w:val="center"/>
        <w:rPr>
          <w:color w:val="000000" w:themeColor="text1"/>
          <w:kern w:val="0"/>
          <w:szCs w:val="21"/>
          <w14:textFill>
            <w14:solidFill>
              <w14:schemeClr w14:val="tx1"/>
            </w14:solidFill>
          </w14:textFill>
        </w:rPr>
      </w:pPr>
    </w:p>
    <w:p w14:paraId="10C63A60">
      <w:pPr>
        <w:widowControl/>
        <w:wordWrap w:val="0"/>
        <w:spacing w:line="400" w:lineRule="atLeast"/>
        <w:ind w:firstLine="420"/>
        <w:jc w:val="center"/>
        <w:rPr>
          <w:color w:val="000000" w:themeColor="text1"/>
          <w:kern w:val="0"/>
          <w:szCs w:val="21"/>
          <w14:textFill>
            <w14:solidFill>
              <w14:schemeClr w14:val="tx1"/>
            </w14:solidFill>
          </w14:textFill>
        </w:rPr>
      </w:pPr>
    </w:p>
    <w:p w14:paraId="6A8E71C1">
      <w:pPr>
        <w:widowControl/>
        <w:wordWrap w:val="0"/>
        <w:spacing w:line="400" w:lineRule="atLeast"/>
        <w:ind w:firstLine="420"/>
        <w:rPr>
          <w:color w:val="000000" w:themeColor="text1"/>
          <w:kern w:val="0"/>
          <w:szCs w:val="21"/>
          <w14:textFill>
            <w14:solidFill>
              <w14:schemeClr w14:val="tx1"/>
            </w14:solidFill>
          </w14:textFill>
        </w:rPr>
      </w:pPr>
    </w:p>
    <w:p w14:paraId="2FCB90A4">
      <w:pPr>
        <w:widowControl/>
        <w:wordWrap w:val="0"/>
        <w:spacing w:line="400" w:lineRule="atLeast"/>
        <w:ind w:firstLine="420"/>
        <w:jc w:val="center"/>
        <w:rPr>
          <w:color w:val="000000" w:themeColor="text1"/>
          <w:kern w:val="0"/>
          <w:szCs w:val="21"/>
          <w14:textFill>
            <w14:solidFill>
              <w14:schemeClr w14:val="tx1"/>
            </w14:solidFill>
          </w14:textFill>
        </w:rPr>
      </w:pPr>
    </w:p>
    <w:p w14:paraId="371A36BC">
      <w:pPr>
        <w:widowControl/>
        <w:wordWrap w:val="0"/>
        <w:spacing w:line="400" w:lineRule="atLeast"/>
        <w:ind w:firstLine="420"/>
        <w:jc w:val="center"/>
        <w:rPr>
          <w:color w:val="000000" w:themeColor="text1"/>
          <w:kern w:val="0"/>
          <w:szCs w:val="21"/>
          <w14:textFill>
            <w14:solidFill>
              <w14:schemeClr w14:val="tx1"/>
            </w14:solidFill>
          </w14:textFill>
        </w:rPr>
      </w:pPr>
    </w:p>
    <w:bookmarkEnd w:id="1"/>
    <w:p w14:paraId="5057AB90">
      <w:pPr>
        <w:spacing w:line="560" w:lineRule="exact"/>
        <w:ind w:firstLine="1280" w:firstLineChars="400"/>
        <w:jc w:val="left"/>
        <w:rPr>
          <w:rFonts w:eastAsiaTheme="majorEastAsia"/>
          <w:color w:val="000000" w:themeColor="text1"/>
          <w:sz w:val="32"/>
          <w:szCs w:val="32"/>
          <w14:textFill>
            <w14:solidFill>
              <w14:schemeClr w14:val="tx1"/>
            </w14:solidFill>
          </w14:textFill>
        </w:rPr>
      </w:pPr>
      <w:bookmarkStart w:id="2" w:name="_Toc12025627"/>
      <w:bookmarkStart w:id="3" w:name="_Toc274636671"/>
      <w:bookmarkStart w:id="4" w:name="_Toc161155873"/>
      <w:bookmarkStart w:id="5" w:name="_Toc185182816"/>
      <w:bookmarkStart w:id="6" w:name="_Toc161156573"/>
      <w:bookmarkStart w:id="7" w:name="_Toc162622189"/>
      <w:bookmarkStart w:id="8" w:name="_Toc161154240"/>
      <w:bookmarkStart w:id="9" w:name="_Toc162618954"/>
      <w:r>
        <w:rPr>
          <w:rFonts w:eastAsiaTheme="majorEastAsia"/>
          <w:color w:val="000000" w:themeColor="text1"/>
          <w:sz w:val="32"/>
          <w:szCs w:val="32"/>
          <w14:textFill>
            <w14:solidFill>
              <w14:schemeClr w14:val="tx1"/>
            </w14:solidFill>
          </w14:textFill>
        </w:rPr>
        <w:t>采 购 人：</w:t>
      </w:r>
      <w:r>
        <w:rPr>
          <w:rFonts w:eastAsiaTheme="majorEastAsia"/>
          <w:color w:val="000000" w:themeColor="text1"/>
          <w:sz w:val="32"/>
          <w:szCs w:val="32"/>
          <w:u w:val="single"/>
          <w14:textFill>
            <w14:solidFill>
              <w14:schemeClr w14:val="tx1"/>
            </w14:solidFill>
          </w14:textFill>
        </w:rPr>
        <w:t xml:space="preserve">江苏方洋能源科技有限公司 </w:t>
      </w:r>
    </w:p>
    <w:p w14:paraId="4862C7D5">
      <w:pPr>
        <w:spacing w:line="560" w:lineRule="exact"/>
        <w:ind w:firstLine="1280" w:firstLineChars="400"/>
        <w:jc w:val="left"/>
        <w:rPr>
          <w:rFonts w:eastAsiaTheme="majorEastAsia"/>
          <w:color w:val="000000" w:themeColor="text1"/>
          <w:sz w:val="32"/>
          <w:szCs w:val="32"/>
          <w:u w:val="single"/>
          <w14:textFill>
            <w14:solidFill>
              <w14:schemeClr w14:val="tx1"/>
            </w14:solidFill>
          </w14:textFill>
        </w:rPr>
      </w:pPr>
      <w:r>
        <w:rPr>
          <w:rFonts w:eastAsiaTheme="majorEastAsia"/>
          <w:color w:val="000000" w:themeColor="text1"/>
          <w:sz w:val="32"/>
          <w:szCs w:val="32"/>
          <w14:textFill>
            <w14:solidFill>
              <w14:schemeClr w14:val="tx1"/>
            </w14:solidFill>
          </w14:textFill>
        </w:rPr>
        <w:t>代理机构：</w:t>
      </w:r>
      <w:r>
        <w:rPr>
          <w:rFonts w:hint="eastAsia" w:eastAsiaTheme="majorEastAsia"/>
          <w:color w:val="000000" w:themeColor="text1"/>
          <w:sz w:val="32"/>
          <w:szCs w:val="32"/>
          <w:u w:val="single"/>
          <w14:textFill>
            <w14:solidFill>
              <w14:schemeClr w14:val="tx1"/>
            </w14:solidFill>
          </w14:textFill>
        </w:rPr>
        <w:t>中化商务有限公司</w:t>
      </w:r>
      <w:r>
        <w:rPr>
          <w:rFonts w:eastAsiaTheme="majorEastAsia"/>
          <w:color w:val="000000" w:themeColor="text1"/>
          <w:sz w:val="32"/>
          <w:szCs w:val="32"/>
          <w:u w:val="single"/>
          <w14:textFill>
            <w14:solidFill>
              <w14:schemeClr w14:val="tx1"/>
            </w14:solidFill>
          </w14:textFill>
        </w:rPr>
        <w:t xml:space="preserve"> </w:t>
      </w:r>
      <w:r>
        <w:rPr>
          <w:rFonts w:hint="eastAsia" w:eastAsiaTheme="majorEastAsia"/>
          <w:color w:val="000000" w:themeColor="text1"/>
          <w:sz w:val="32"/>
          <w:szCs w:val="32"/>
          <w:u w:val="single"/>
          <w14:textFill>
            <w14:solidFill>
              <w14:schemeClr w14:val="tx1"/>
            </w14:solidFill>
          </w14:textFill>
        </w:rPr>
        <w:t xml:space="preserve">        </w:t>
      </w:r>
    </w:p>
    <w:p w14:paraId="373B7495">
      <w:pPr>
        <w:spacing w:line="560" w:lineRule="exact"/>
        <w:ind w:firstLine="1280" w:firstLineChars="400"/>
        <w:jc w:val="left"/>
        <w:rPr>
          <w:color w:val="000000" w:themeColor="text1"/>
          <w14:textFill>
            <w14:solidFill>
              <w14:schemeClr w14:val="tx1"/>
            </w14:solidFill>
          </w14:textFill>
        </w:rPr>
      </w:pPr>
      <w:r>
        <w:rPr>
          <w:rFonts w:eastAsiaTheme="majorEastAsia"/>
          <w:color w:val="000000" w:themeColor="text1"/>
          <w:sz w:val="32"/>
          <w:szCs w:val="32"/>
          <w14:textFill>
            <w14:solidFill>
              <w14:schemeClr w14:val="tx1"/>
            </w14:solidFill>
          </w14:textFill>
        </w:rPr>
        <w:t>日期：</w:t>
      </w:r>
      <w:r>
        <w:rPr>
          <w:rFonts w:hint="eastAsia" w:eastAsiaTheme="majorEastAsia"/>
          <w:color w:val="000000" w:themeColor="text1"/>
          <w:sz w:val="32"/>
          <w:szCs w:val="32"/>
          <w:u w:val="single"/>
          <w:lang w:val="en-US" w:eastAsia="zh-CN"/>
          <w14:textFill>
            <w14:solidFill>
              <w14:schemeClr w14:val="tx1"/>
            </w14:solidFill>
          </w14:textFill>
        </w:rPr>
        <w:t xml:space="preserve">  2025  </w:t>
      </w:r>
      <w:r>
        <w:rPr>
          <w:rFonts w:eastAsiaTheme="majorEastAsia"/>
          <w:color w:val="000000" w:themeColor="text1"/>
          <w:sz w:val="32"/>
          <w:szCs w:val="32"/>
          <w14:textFill>
            <w14:solidFill>
              <w14:schemeClr w14:val="tx1"/>
            </w14:solidFill>
          </w14:textFill>
        </w:rPr>
        <w:t>年</w:t>
      </w:r>
      <w:r>
        <w:rPr>
          <w:rFonts w:eastAsiaTheme="majorEastAsia"/>
          <w:color w:val="000000" w:themeColor="text1"/>
          <w:sz w:val="32"/>
          <w:szCs w:val="32"/>
          <w:u w:val="single"/>
          <w14:textFill>
            <w14:solidFill>
              <w14:schemeClr w14:val="tx1"/>
            </w14:solidFill>
          </w14:textFill>
        </w:rPr>
        <w:t xml:space="preserve"> </w:t>
      </w:r>
      <w:r>
        <w:rPr>
          <w:rFonts w:hint="eastAsia" w:eastAsiaTheme="majorEastAsia"/>
          <w:color w:val="000000" w:themeColor="text1"/>
          <w:sz w:val="32"/>
          <w:szCs w:val="32"/>
          <w:u w:val="single"/>
          <w:lang w:val="en-US" w:eastAsia="zh-CN"/>
          <w14:textFill>
            <w14:solidFill>
              <w14:schemeClr w14:val="tx1"/>
            </w14:solidFill>
          </w14:textFill>
        </w:rPr>
        <w:t xml:space="preserve"> 9 </w:t>
      </w:r>
      <w:r>
        <w:rPr>
          <w:rFonts w:eastAsiaTheme="majorEastAsia"/>
          <w:color w:val="000000" w:themeColor="text1"/>
          <w:sz w:val="32"/>
          <w:szCs w:val="32"/>
          <w:u w:val="single"/>
          <w14:textFill>
            <w14:solidFill>
              <w14:schemeClr w14:val="tx1"/>
            </w14:solidFill>
          </w14:textFill>
        </w:rPr>
        <w:t xml:space="preserve"> </w:t>
      </w:r>
      <w:r>
        <w:rPr>
          <w:rFonts w:eastAsiaTheme="majorEastAsia"/>
          <w:color w:val="000000" w:themeColor="text1"/>
          <w:sz w:val="32"/>
          <w:szCs w:val="32"/>
          <w14:textFill>
            <w14:solidFill>
              <w14:schemeClr w14:val="tx1"/>
            </w14:solidFill>
          </w14:textFill>
        </w:rPr>
        <w:t>月</w:t>
      </w:r>
    </w:p>
    <w:p w14:paraId="5F8AA06A">
      <w:pPr>
        <w:widowControl/>
        <w:ind w:firstLine="420"/>
        <w:jc w:val="left"/>
        <w:rPr>
          <w:bCs/>
          <w:color w:val="000000" w:themeColor="text1"/>
          <w:szCs w:val="36"/>
          <w14:textFill>
            <w14:solidFill>
              <w14:schemeClr w14:val="tx1"/>
            </w14:solidFill>
          </w14:textFill>
        </w:rPr>
      </w:pPr>
      <w:r>
        <w:rPr>
          <w:bCs/>
          <w:color w:val="000000" w:themeColor="text1"/>
          <w:szCs w:val="36"/>
          <w14:textFill>
            <w14:solidFill>
              <w14:schemeClr w14:val="tx1"/>
            </w14:solidFill>
          </w14:textFill>
        </w:rPr>
        <w:br w:type="page"/>
      </w:r>
    </w:p>
    <w:p w14:paraId="0C5B9C5A">
      <w:pPr>
        <w:spacing w:line="240" w:lineRule="auto"/>
        <w:ind w:firstLine="0" w:firstLineChars="0"/>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目  录</w:t>
      </w:r>
    </w:p>
    <w:p w14:paraId="0C47A3F5">
      <w:pPr>
        <w:pStyle w:val="34"/>
        <w:tabs>
          <w:tab w:val="right" w:leader="dot" w:pos="8299"/>
        </w:tabs>
        <w:ind w:firstLine="402"/>
        <w:rPr>
          <w:rFonts w:ascii="Times New Roman" w:hAnsi="Times New Roman"/>
          <w:caps w:val="0"/>
        </w:rPr>
      </w:pPr>
      <w:r>
        <w:rPr>
          <w:rFonts w:ascii="Times New Roman" w:hAnsi="Times New Roman" w:cs="Times New Roman"/>
          <w:caps w:val="0"/>
          <w:color w:val="000000" w:themeColor="text1"/>
          <w14:textFill>
            <w14:solidFill>
              <w14:schemeClr w14:val="tx1"/>
            </w14:solidFill>
          </w14:textFill>
        </w:rPr>
        <w:fldChar w:fldCharType="begin"/>
      </w:r>
      <w:r>
        <w:rPr>
          <w:rFonts w:ascii="Times New Roman" w:hAnsi="Times New Roman" w:cs="Times New Roman"/>
          <w:caps w:val="0"/>
          <w:color w:val="000000" w:themeColor="text1"/>
          <w14:textFill>
            <w14:solidFill>
              <w14:schemeClr w14:val="tx1"/>
            </w14:solidFill>
          </w14:textFill>
        </w:rPr>
        <w:instrText xml:space="preserve"> TOC \o "1-3" \h \z \u </w:instrText>
      </w:r>
      <w:r>
        <w:rPr>
          <w:rFonts w:ascii="Times New Roman" w:hAnsi="Times New Roman" w:cs="Times New Roman"/>
          <w:caps w:val="0"/>
          <w:color w:val="000000" w:themeColor="text1"/>
          <w14:textFill>
            <w14:solidFill>
              <w14:schemeClr w14:val="tx1"/>
            </w14:solidFill>
          </w14:textFill>
        </w:rPr>
        <w:fldChar w:fldCharType="separate"/>
      </w:r>
      <w:r>
        <w:fldChar w:fldCharType="begin"/>
      </w:r>
      <w:r>
        <w:instrText xml:space="preserve"> HYPERLINK \l "_Toc7210" </w:instrText>
      </w:r>
      <w:r>
        <w:fldChar w:fldCharType="separate"/>
      </w:r>
      <w:r>
        <w:rPr>
          <w:rFonts w:hint="eastAsia" w:ascii="Times New Roman" w:hAnsi="Times New Roman" w:cs="Times New Roman"/>
          <w:caps w:val="0"/>
          <w:szCs w:val="36"/>
        </w:rPr>
        <w:t xml:space="preserve">第一章 </w:t>
      </w:r>
      <w:r>
        <w:rPr>
          <w:rFonts w:ascii="Times New Roman" w:hAnsi="Times New Roman" w:cs="Times New Roman"/>
          <w:caps w:val="0"/>
          <w:szCs w:val="36"/>
        </w:rPr>
        <w:t>竞争性谈判公告</w:t>
      </w:r>
      <w:r>
        <w:rPr>
          <w:rFonts w:ascii="Times New Roman" w:hAnsi="Times New Roman"/>
          <w:caps w:val="0"/>
        </w:rPr>
        <w:tab/>
      </w:r>
      <w:r>
        <w:rPr>
          <w:rFonts w:ascii="Times New Roman" w:hAnsi="Times New Roman"/>
          <w:caps w:val="0"/>
        </w:rPr>
        <w:fldChar w:fldCharType="begin"/>
      </w:r>
      <w:r>
        <w:rPr>
          <w:rFonts w:ascii="Times New Roman" w:hAnsi="Times New Roman"/>
          <w:caps w:val="0"/>
        </w:rPr>
        <w:instrText xml:space="preserve"> PAGEREF _Toc7210 \h </w:instrText>
      </w:r>
      <w:r>
        <w:rPr>
          <w:rFonts w:ascii="Times New Roman" w:hAnsi="Times New Roman"/>
          <w:caps w:val="0"/>
        </w:rPr>
        <w:fldChar w:fldCharType="separate"/>
      </w:r>
      <w:r>
        <w:rPr>
          <w:rFonts w:ascii="Times New Roman" w:hAnsi="Times New Roman"/>
          <w:caps w:val="0"/>
        </w:rPr>
        <w:t>3</w:t>
      </w:r>
      <w:r>
        <w:rPr>
          <w:rFonts w:ascii="Times New Roman" w:hAnsi="Times New Roman"/>
          <w:caps w:val="0"/>
        </w:rPr>
        <w:fldChar w:fldCharType="end"/>
      </w:r>
      <w:r>
        <w:rPr>
          <w:rFonts w:ascii="Times New Roman" w:hAnsi="Times New Roman"/>
          <w:caps w:val="0"/>
        </w:rPr>
        <w:fldChar w:fldCharType="end"/>
      </w:r>
    </w:p>
    <w:p w14:paraId="2725E22B">
      <w:pPr>
        <w:pStyle w:val="34"/>
        <w:tabs>
          <w:tab w:val="right" w:leader="dot" w:pos="8299"/>
        </w:tabs>
        <w:ind w:firstLine="402"/>
        <w:rPr>
          <w:rFonts w:ascii="Times New Roman" w:hAnsi="Times New Roman"/>
          <w:caps w:val="0"/>
        </w:rPr>
      </w:pPr>
      <w:r>
        <w:fldChar w:fldCharType="begin"/>
      </w:r>
      <w:r>
        <w:instrText xml:space="preserve"> HYPERLINK \l "_Toc27919" </w:instrText>
      </w:r>
      <w:r>
        <w:fldChar w:fldCharType="separate"/>
      </w:r>
      <w:r>
        <w:rPr>
          <w:rFonts w:ascii="Times New Roman" w:hAnsi="Times New Roman" w:cs="Times New Roman"/>
          <w:caps w:val="0"/>
          <w:szCs w:val="24"/>
        </w:rPr>
        <w:t>第二章 供应商须知</w:t>
      </w:r>
      <w:r>
        <w:rPr>
          <w:rFonts w:ascii="Times New Roman" w:hAnsi="Times New Roman"/>
          <w:caps w:val="0"/>
        </w:rPr>
        <w:tab/>
      </w:r>
      <w:r>
        <w:rPr>
          <w:rFonts w:ascii="Times New Roman" w:hAnsi="Times New Roman"/>
          <w:caps w:val="0"/>
        </w:rPr>
        <w:fldChar w:fldCharType="begin"/>
      </w:r>
      <w:r>
        <w:rPr>
          <w:rFonts w:ascii="Times New Roman" w:hAnsi="Times New Roman"/>
          <w:caps w:val="0"/>
        </w:rPr>
        <w:instrText xml:space="preserve"> PAGEREF _Toc27919 \h </w:instrText>
      </w:r>
      <w:r>
        <w:rPr>
          <w:rFonts w:ascii="Times New Roman" w:hAnsi="Times New Roman"/>
          <w:caps w:val="0"/>
        </w:rPr>
        <w:fldChar w:fldCharType="separate"/>
      </w:r>
      <w:r>
        <w:rPr>
          <w:rFonts w:ascii="Times New Roman" w:hAnsi="Times New Roman"/>
          <w:caps w:val="0"/>
        </w:rPr>
        <w:t>6</w:t>
      </w:r>
      <w:r>
        <w:rPr>
          <w:rFonts w:ascii="Times New Roman" w:hAnsi="Times New Roman"/>
          <w:caps w:val="0"/>
        </w:rPr>
        <w:fldChar w:fldCharType="end"/>
      </w:r>
      <w:r>
        <w:rPr>
          <w:rFonts w:ascii="Times New Roman" w:hAnsi="Times New Roman"/>
          <w:caps w:val="0"/>
        </w:rPr>
        <w:fldChar w:fldCharType="end"/>
      </w:r>
    </w:p>
    <w:p w14:paraId="09C1350B">
      <w:pPr>
        <w:pStyle w:val="34"/>
        <w:tabs>
          <w:tab w:val="right" w:leader="dot" w:pos="8299"/>
        </w:tabs>
        <w:ind w:firstLine="402"/>
        <w:rPr>
          <w:rFonts w:hint="eastAsia" w:ascii="Times New Roman" w:hAnsi="Times New Roman" w:eastAsia="宋体"/>
          <w:caps w:val="0"/>
          <w:lang w:val="en-US" w:eastAsia="zh-CN"/>
        </w:rPr>
      </w:pPr>
      <w:r>
        <w:fldChar w:fldCharType="begin"/>
      </w:r>
      <w:r>
        <w:instrText xml:space="preserve"> HYPERLINK \l "_Toc23622" </w:instrText>
      </w:r>
      <w:r>
        <w:fldChar w:fldCharType="separate"/>
      </w:r>
      <w:r>
        <w:rPr>
          <w:rFonts w:ascii="Times New Roman" w:hAnsi="Times New Roman" w:cs="Times New Roman"/>
          <w:caps w:val="0"/>
        </w:rPr>
        <w:t>第三章 评审办法</w:t>
      </w:r>
      <w:r>
        <w:rPr>
          <w:rFonts w:ascii="Times New Roman" w:hAnsi="Times New Roman"/>
          <w:caps w:val="0"/>
        </w:rPr>
        <w:tab/>
      </w:r>
      <w:r>
        <w:rPr>
          <w:rFonts w:hint="eastAsia" w:ascii="Times New Roman" w:hAnsi="Times New Roman"/>
          <w:caps w:val="0"/>
          <w:lang w:val="en-US" w:eastAsia="zh-CN"/>
        </w:rPr>
        <w:t>1</w:t>
      </w:r>
      <w:r>
        <w:rPr>
          <w:rFonts w:ascii="Times New Roman" w:hAnsi="Times New Roman"/>
          <w:caps w:val="0"/>
        </w:rPr>
        <w:fldChar w:fldCharType="end"/>
      </w:r>
      <w:r>
        <w:rPr>
          <w:rFonts w:hint="eastAsia" w:ascii="Times New Roman" w:hAnsi="Times New Roman"/>
          <w:caps w:val="0"/>
          <w:lang w:val="en-US" w:eastAsia="zh-CN"/>
        </w:rPr>
        <w:t>9</w:t>
      </w:r>
    </w:p>
    <w:p w14:paraId="6F84145C">
      <w:pPr>
        <w:pStyle w:val="34"/>
        <w:tabs>
          <w:tab w:val="right" w:leader="dot" w:pos="8299"/>
        </w:tabs>
        <w:ind w:firstLine="402"/>
        <w:rPr>
          <w:rFonts w:hint="eastAsia" w:ascii="Times New Roman" w:hAnsi="Times New Roman" w:eastAsia="宋体"/>
          <w:caps w:val="0"/>
          <w:lang w:val="en-US" w:eastAsia="zh-CN"/>
        </w:rPr>
      </w:pPr>
      <w:r>
        <w:fldChar w:fldCharType="begin"/>
      </w:r>
      <w:r>
        <w:instrText xml:space="preserve"> HYPERLINK \l "_Toc24763" </w:instrText>
      </w:r>
      <w:r>
        <w:fldChar w:fldCharType="separate"/>
      </w:r>
      <w:r>
        <w:rPr>
          <w:rFonts w:ascii="Times New Roman" w:hAnsi="Times New Roman" w:cs="Times New Roman"/>
          <w:caps w:val="0"/>
          <w:szCs w:val="48"/>
        </w:rPr>
        <w:t>第四章 合同条款及格式</w:t>
      </w:r>
      <w:r>
        <w:rPr>
          <w:rFonts w:ascii="Times New Roman" w:hAnsi="Times New Roman"/>
          <w:caps w:val="0"/>
        </w:rPr>
        <w:tab/>
      </w:r>
      <w:r>
        <w:rPr>
          <w:rFonts w:hint="eastAsia" w:ascii="Times New Roman" w:hAnsi="Times New Roman"/>
          <w:caps w:val="0"/>
          <w:lang w:val="en-US" w:eastAsia="zh-CN"/>
        </w:rPr>
        <w:t>2</w:t>
      </w:r>
      <w:r>
        <w:rPr>
          <w:rFonts w:ascii="Times New Roman" w:hAnsi="Times New Roman"/>
          <w:caps w:val="0"/>
        </w:rPr>
        <w:fldChar w:fldCharType="end"/>
      </w:r>
      <w:r>
        <w:rPr>
          <w:rFonts w:hint="eastAsia" w:ascii="Times New Roman" w:hAnsi="Times New Roman"/>
          <w:caps w:val="0"/>
          <w:lang w:val="en-US" w:eastAsia="zh-CN"/>
        </w:rPr>
        <w:t>3</w:t>
      </w:r>
    </w:p>
    <w:p w14:paraId="33445CB3">
      <w:pPr>
        <w:pStyle w:val="34"/>
        <w:tabs>
          <w:tab w:val="right" w:leader="dot" w:pos="8299"/>
        </w:tabs>
        <w:ind w:firstLine="402"/>
        <w:rPr>
          <w:rFonts w:hint="eastAsia" w:ascii="Times New Roman" w:hAnsi="Times New Roman" w:eastAsia="宋体" w:cs="Times New Roman"/>
          <w:b/>
          <w:bCs/>
          <w:caps/>
          <w:color w:val="000000" w:themeColor="text1"/>
          <w:lang w:val="en-US"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cols w:space="0" w:num="1"/>
          <w:docGrid w:linePitch="312" w:charSpace="0"/>
        </w:sectPr>
      </w:pPr>
      <w:r>
        <w:fldChar w:fldCharType="begin"/>
      </w:r>
      <w:r>
        <w:instrText xml:space="preserve"> HYPERLINK \l "_Toc1036" </w:instrText>
      </w:r>
      <w:r>
        <w:fldChar w:fldCharType="separate"/>
      </w:r>
      <w:r>
        <w:rPr>
          <w:rFonts w:ascii="Times New Roman" w:hAnsi="Times New Roman" w:cs="Times New Roman"/>
          <w:caps w:val="0"/>
          <w:szCs w:val="48"/>
        </w:rPr>
        <w:t>第</w:t>
      </w:r>
      <w:r>
        <w:rPr>
          <w:rFonts w:hint="eastAsia" w:ascii="Times New Roman" w:hAnsi="Times New Roman" w:cs="Times New Roman"/>
          <w:caps w:val="0"/>
          <w:szCs w:val="48"/>
        </w:rPr>
        <w:t>五</w:t>
      </w:r>
      <w:r>
        <w:rPr>
          <w:rFonts w:ascii="Times New Roman" w:hAnsi="Times New Roman" w:cs="Times New Roman"/>
          <w:caps w:val="0"/>
          <w:szCs w:val="48"/>
        </w:rPr>
        <w:t>章 响应文件格式</w:t>
      </w:r>
      <w:r>
        <w:rPr>
          <w:rFonts w:ascii="Times New Roman" w:hAnsi="Times New Roman"/>
          <w:caps w:val="0"/>
        </w:rPr>
        <w:tab/>
      </w:r>
      <w:r>
        <w:rPr>
          <w:rFonts w:hint="eastAsia" w:ascii="Times New Roman" w:hAnsi="Times New Roman"/>
          <w:caps w:val="0"/>
          <w:lang w:val="en-US" w:eastAsia="zh-CN"/>
        </w:rPr>
        <w:t>3</w:t>
      </w:r>
      <w:r>
        <w:rPr>
          <w:rFonts w:ascii="Times New Roman" w:hAnsi="Times New Roman"/>
          <w:caps w:val="0"/>
        </w:rPr>
        <w:fldChar w:fldCharType="end"/>
      </w:r>
      <w:r>
        <w:rPr>
          <w:rFonts w:ascii="Times New Roman" w:hAnsi="Times New Roman" w:cs="Times New Roman"/>
          <w:bCs/>
          <w:smallCaps w:val="0"/>
          <w:color w:val="000000" w:themeColor="text1"/>
          <w14:textFill>
            <w14:solidFill>
              <w14:schemeClr w14:val="tx1"/>
            </w14:solidFill>
          </w14:textFill>
        </w:rPr>
        <w:fldChar w:fldCharType="end"/>
      </w:r>
      <w:r>
        <w:rPr>
          <w:rFonts w:hint="eastAsia" w:ascii="Times New Roman" w:hAnsi="Times New Roman" w:cs="Times New Roman"/>
          <w:bCs/>
          <w:smallCaps w:val="0"/>
          <w:color w:val="000000" w:themeColor="text1"/>
          <w:lang w:val="en-US" w:eastAsia="zh-CN"/>
          <w14:textFill>
            <w14:solidFill>
              <w14:schemeClr w14:val="tx1"/>
            </w14:solidFill>
          </w14:textFill>
        </w:rPr>
        <w:t>3</w:t>
      </w:r>
    </w:p>
    <w:p w14:paraId="56A88028">
      <w:pPr>
        <w:pStyle w:val="2"/>
        <w:keepNext w:val="0"/>
        <w:numPr>
          <w:ilvl w:val="0"/>
          <w:numId w:val="3"/>
        </w:numPr>
        <w:snapToGrid w:val="0"/>
        <w:spacing w:before="300" w:after="200" w:line="400" w:lineRule="atLeast"/>
        <w:ind w:firstLine="0" w:firstLineChars="0"/>
        <w:jc w:val="center"/>
        <w:rPr>
          <w:rFonts w:ascii="Times New Roman" w:hAnsi="Times New Roman" w:eastAsiaTheme="majorEastAsia"/>
          <w:bCs/>
          <w:color w:val="000000" w:themeColor="text1"/>
          <w:kern w:val="2"/>
          <w:szCs w:val="36"/>
          <w14:textFill>
            <w14:solidFill>
              <w14:schemeClr w14:val="tx1"/>
            </w14:solidFill>
          </w14:textFill>
        </w:rPr>
      </w:pPr>
      <w:bookmarkStart w:id="10" w:name="_Toc7210"/>
      <w:r>
        <w:rPr>
          <w:rFonts w:ascii="Times New Roman" w:hAnsi="Times New Roman" w:eastAsiaTheme="majorEastAsia"/>
          <w:bCs/>
          <w:color w:val="000000" w:themeColor="text1"/>
          <w:kern w:val="2"/>
          <w:szCs w:val="36"/>
          <w14:textFill>
            <w14:solidFill>
              <w14:schemeClr w14:val="tx1"/>
            </w14:solidFill>
          </w14:textFill>
        </w:rPr>
        <w:t>竞争性谈判公告</w:t>
      </w:r>
      <w:bookmarkEnd w:id="2"/>
      <w:bookmarkEnd w:id="10"/>
    </w:p>
    <w:p w14:paraId="2951AD4B">
      <w:pPr>
        <w:adjustRightInd w:val="0"/>
        <w:snapToGrid w:val="0"/>
        <w:spacing w:line="360" w:lineRule="auto"/>
        <w:ind w:firstLine="0" w:firstLineChars="0"/>
        <w:jc w:val="center"/>
        <w:rPr>
          <w:rFonts w:hint="eastAsia" w:eastAsiaTheme="minorEastAsia"/>
          <w:b/>
          <w:bCs/>
          <w:color w:val="000000" w:themeColor="text1"/>
          <w:sz w:val="28"/>
          <w:szCs w:val="28"/>
          <w:lang w:eastAsia="zh-CN"/>
          <w14:textFill>
            <w14:solidFill>
              <w14:schemeClr w14:val="tx1"/>
            </w14:solidFill>
          </w14:textFill>
        </w:rPr>
      </w:pPr>
      <w:r>
        <w:rPr>
          <w:rFonts w:hint="eastAsia" w:eastAsiaTheme="minorEastAsia"/>
          <w:b/>
          <w:bCs/>
          <w:color w:val="000000" w:themeColor="text1"/>
          <w:sz w:val="28"/>
          <w:szCs w:val="28"/>
          <w:lang w:eastAsia="zh-CN"/>
          <w14:textFill>
            <w14:solidFill>
              <w14:schemeClr w14:val="tx1"/>
            </w14:solidFill>
          </w14:textFill>
        </w:rPr>
        <w:t>徐圩新区增量配电网输配电线路防外破改造施工回流线采购</w:t>
      </w:r>
    </w:p>
    <w:p w14:paraId="1CBBF27A">
      <w:pPr>
        <w:adjustRightInd w:val="0"/>
        <w:snapToGrid w:val="0"/>
        <w:spacing w:line="360" w:lineRule="auto"/>
        <w:ind w:firstLine="0" w:firstLineChars="0"/>
        <w:jc w:val="center"/>
        <w:rPr>
          <w:rFonts w:eastAsiaTheme="minorEastAsia"/>
          <w:b/>
          <w:bCs/>
          <w:color w:val="000000" w:themeColor="text1"/>
          <w:sz w:val="28"/>
          <w:szCs w:val="28"/>
          <w14:textFill>
            <w14:solidFill>
              <w14:schemeClr w14:val="tx1"/>
            </w14:solidFill>
          </w14:textFill>
        </w:rPr>
      </w:pPr>
      <w:r>
        <w:rPr>
          <w:rFonts w:eastAsiaTheme="minorEastAsia"/>
          <w:b/>
          <w:bCs/>
          <w:color w:val="000000" w:themeColor="text1"/>
          <w:sz w:val="28"/>
          <w:szCs w:val="28"/>
          <w14:textFill>
            <w14:solidFill>
              <w14:schemeClr w14:val="tx1"/>
            </w14:solidFill>
          </w14:textFill>
        </w:rPr>
        <w:t>竞争性谈判公告</w:t>
      </w:r>
    </w:p>
    <w:p w14:paraId="1009C4D5">
      <w:pPr>
        <w:wordWrap w:val="0"/>
        <w:spacing w:line="360" w:lineRule="exact"/>
        <w:ind w:firstLine="420"/>
        <w:jc w:val="left"/>
        <w:rPr>
          <w:rFonts w:eastAsiaTheme="minorEastAsia"/>
          <w:color w:val="000000" w:themeColor="text1"/>
          <w:szCs w:val="21"/>
          <w14:textFill>
            <w14:solidFill>
              <w14:schemeClr w14:val="tx1"/>
            </w14:solidFill>
          </w14:textFill>
        </w:rPr>
      </w:pPr>
      <w:bookmarkStart w:id="11" w:name="_Toc398107833"/>
      <w:r>
        <w:rPr>
          <w:rFonts w:eastAsiaTheme="minorEastAsia"/>
          <w:color w:val="000000" w:themeColor="text1"/>
          <w:szCs w:val="21"/>
          <w14:textFill>
            <w14:solidFill>
              <w14:schemeClr w14:val="tx1"/>
            </w14:solidFill>
          </w14:textFill>
        </w:rPr>
        <w:t>受采购人</w:t>
      </w:r>
      <w:r>
        <w:rPr>
          <w:rFonts w:eastAsiaTheme="minorEastAsia"/>
          <w:color w:val="000000" w:themeColor="text1"/>
          <w:szCs w:val="21"/>
          <w:u w:val="single"/>
          <w14:textFill>
            <w14:solidFill>
              <w14:schemeClr w14:val="tx1"/>
            </w14:solidFill>
          </w14:textFill>
        </w:rPr>
        <w:t xml:space="preserve"> 江苏方洋能源科技有限公司  </w:t>
      </w:r>
      <w:r>
        <w:rPr>
          <w:rFonts w:eastAsiaTheme="minorEastAsia"/>
          <w:color w:val="000000" w:themeColor="text1"/>
          <w:szCs w:val="21"/>
          <w14:textFill>
            <w14:solidFill>
              <w14:schemeClr w14:val="tx1"/>
            </w14:solidFill>
          </w14:textFill>
        </w:rPr>
        <w:t>委托，采购代理机构</w:t>
      </w:r>
      <w:r>
        <w:rPr>
          <w:rFonts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14:textFill>
            <w14:solidFill>
              <w14:schemeClr w14:val="tx1"/>
            </w14:solidFill>
          </w14:textFill>
        </w:rPr>
        <w:t>中化商务有限公司</w:t>
      </w:r>
      <w:r>
        <w:rPr>
          <w:rFonts w:eastAsiaTheme="minorEastAsia"/>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对</w:t>
      </w:r>
      <w:r>
        <w:rPr>
          <w:rFonts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lang w:eastAsia="zh-CN"/>
          <w14:textFill>
            <w14:solidFill>
              <w14:schemeClr w14:val="tx1"/>
            </w14:solidFill>
          </w14:textFill>
        </w:rPr>
        <w:t>徐圩新区增量配电网输配电线路防外破改造施工回流线采购</w:t>
      </w:r>
      <w:r>
        <w:rPr>
          <w:rFonts w:eastAsiaTheme="minorEastAsia"/>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进行竞争性谈判采购，现欢迎符合相关条件的供应商参加谈判。</w:t>
      </w:r>
    </w:p>
    <w:p w14:paraId="20D850A5">
      <w:pPr>
        <w:adjustRightInd w:val="0"/>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1.采购项目名称及编号</w:t>
      </w:r>
    </w:p>
    <w:p w14:paraId="270C8862">
      <w:pPr>
        <w:adjustRightIn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1.1项目名称：</w:t>
      </w:r>
      <w:r>
        <w:rPr>
          <w:rFonts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lang w:eastAsia="zh-CN"/>
          <w14:textFill>
            <w14:solidFill>
              <w14:schemeClr w14:val="tx1"/>
            </w14:solidFill>
          </w14:textFill>
        </w:rPr>
        <w:t>徐圩新区增量配电网输配电线路防外破改造施工回流线采购</w:t>
      </w:r>
      <w:r>
        <w:rPr>
          <w:rFonts w:eastAsiaTheme="minorEastAsia"/>
          <w:color w:val="000000" w:themeColor="text1"/>
          <w:szCs w:val="21"/>
          <w:u w:val="single"/>
          <w14:textFill>
            <w14:solidFill>
              <w14:schemeClr w14:val="tx1"/>
            </w14:solidFill>
          </w14:textFill>
        </w:rPr>
        <w:t>。</w:t>
      </w:r>
    </w:p>
    <w:p w14:paraId="7BD703B5">
      <w:pPr>
        <w:adjustRightInd w:val="0"/>
        <w:spacing w:line="360" w:lineRule="exact"/>
        <w:ind w:firstLine="420"/>
        <w:jc w:val="left"/>
        <w:rPr>
          <w:rFonts w:eastAsiaTheme="minorEastAsia"/>
          <w:color w:val="000000" w:themeColor="text1"/>
          <w:szCs w:val="21"/>
          <w:u w:val="single"/>
          <w14:textFill>
            <w14:solidFill>
              <w14:schemeClr w14:val="tx1"/>
            </w14:solidFill>
          </w14:textFill>
        </w:rPr>
      </w:pPr>
      <w:r>
        <w:rPr>
          <w:rFonts w:eastAsiaTheme="minorEastAsia"/>
          <w:color w:val="000000" w:themeColor="text1"/>
          <w:szCs w:val="21"/>
          <w14:textFill>
            <w14:solidFill>
              <w14:schemeClr w14:val="tx1"/>
            </w14:solidFill>
          </w14:textFill>
        </w:rPr>
        <w:t>1.2项目编号：</w:t>
      </w:r>
      <w:r>
        <w:rPr>
          <w:rFonts w:eastAsiaTheme="minorEastAsia"/>
          <w:color w:val="000000" w:themeColor="text1"/>
          <w:szCs w:val="21"/>
          <w:u w:val="single"/>
          <w14:textFill>
            <w14:solidFill>
              <w14:schemeClr w14:val="tx1"/>
            </w14:solidFill>
          </w14:textFill>
        </w:rPr>
        <w:t xml:space="preserve">       /       </w:t>
      </w:r>
    </w:p>
    <w:p w14:paraId="66F0FD11">
      <w:pPr>
        <w:adjustRightInd w:val="0"/>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2.项目概况</w:t>
      </w:r>
    </w:p>
    <w:p w14:paraId="60B63621">
      <w:pPr>
        <w:adjustRightInd w:val="0"/>
        <w:snapToGri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 项目地点：</w:t>
      </w:r>
      <w:r>
        <w:rPr>
          <w:rFonts w:eastAsiaTheme="minorEastAsia"/>
          <w:color w:val="000000" w:themeColor="text1"/>
          <w:szCs w:val="21"/>
          <w:u w:val="single"/>
          <w14:textFill>
            <w14:solidFill>
              <w14:schemeClr w14:val="tx1"/>
            </w14:solidFill>
          </w14:textFill>
        </w:rPr>
        <w:t xml:space="preserve"> 徐圩新区  </w:t>
      </w:r>
      <w:r>
        <w:rPr>
          <w:rFonts w:eastAsiaTheme="minorEastAsia"/>
          <w:color w:val="000000" w:themeColor="text1"/>
          <w:szCs w:val="21"/>
          <w14:textFill>
            <w14:solidFill>
              <w14:schemeClr w14:val="tx1"/>
            </w14:solidFill>
          </w14:textFill>
        </w:rPr>
        <w:t>；</w:t>
      </w:r>
    </w:p>
    <w:p w14:paraId="3627CAB1">
      <w:pPr>
        <w:adjustRightInd w:val="0"/>
        <w:snapToGri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 建设规模：</w:t>
      </w:r>
      <w:r>
        <w:rPr>
          <w:rFonts w:eastAsiaTheme="minorEastAsia"/>
          <w:color w:val="000000" w:themeColor="text1"/>
          <w:szCs w:val="21"/>
          <w:u w:val="single"/>
          <w14:textFill>
            <w14:solidFill>
              <w14:schemeClr w14:val="tx1"/>
            </w14:solidFill>
          </w14:textFill>
        </w:rPr>
        <w:t xml:space="preserve">      /     </w:t>
      </w:r>
      <w:r>
        <w:rPr>
          <w:rFonts w:eastAsiaTheme="minorEastAsia"/>
          <w:color w:val="000000" w:themeColor="text1"/>
          <w:szCs w:val="21"/>
          <w14:textFill>
            <w14:solidFill>
              <w14:schemeClr w14:val="tx1"/>
            </w14:solidFill>
          </w14:textFill>
        </w:rPr>
        <w:t>；</w:t>
      </w:r>
    </w:p>
    <w:p w14:paraId="285537DA">
      <w:pPr>
        <w:pStyle w:val="18"/>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 供货期要求：</w:t>
      </w:r>
      <w:r>
        <w:rPr>
          <w:rFonts w:hint="eastAsia" w:eastAsiaTheme="minorEastAsia"/>
          <w:color w:val="000000" w:themeColor="text1"/>
          <w:szCs w:val="21"/>
          <w:u w:val="single"/>
          <w:lang w:val="en-US" w:eastAsia="zh-CN"/>
          <w14:textFill>
            <w14:solidFill>
              <w14:schemeClr w14:val="tx1"/>
            </w14:solidFill>
          </w14:textFill>
        </w:rPr>
        <w:t>10</w:t>
      </w:r>
      <w:r>
        <w:rPr>
          <w:rFonts w:eastAsiaTheme="minorEastAsia"/>
          <w:color w:val="000000" w:themeColor="text1"/>
          <w:szCs w:val="21"/>
          <w14:textFill>
            <w14:solidFill>
              <w14:schemeClr w14:val="tx1"/>
            </w14:solidFill>
          </w14:textFill>
        </w:rPr>
        <w:t>日历天,实际开始时间以采购人通知为准；</w:t>
      </w:r>
    </w:p>
    <w:p w14:paraId="624450CA">
      <w:pPr>
        <w:pStyle w:val="18"/>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 采购控制价：</w:t>
      </w:r>
      <w:r>
        <w:rPr>
          <w:rFonts w:eastAsiaTheme="minorEastAsia"/>
          <w:b/>
          <w:bCs/>
          <w:color w:val="000000" w:themeColor="text1"/>
          <w:szCs w:val="21"/>
          <w:u w:val="single"/>
          <w14:textFill>
            <w14:solidFill>
              <w14:schemeClr w14:val="tx1"/>
            </w14:solidFill>
          </w14:textFill>
        </w:rPr>
        <w:t xml:space="preserve"> </w:t>
      </w:r>
      <w:r>
        <w:rPr>
          <w:rFonts w:hint="eastAsia" w:eastAsiaTheme="minorEastAsia"/>
          <w:b/>
          <w:bCs/>
          <w:color w:val="000000" w:themeColor="text1"/>
          <w:szCs w:val="21"/>
          <w:u w:val="single"/>
          <w:lang w:val="en-US" w:eastAsia="zh-CN"/>
          <w14:textFill>
            <w14:solidFill>
              <w14:schemeClr w14:val="tx1"/>
            </w14:solidFill>
          </w14:textFill>
        </w:rPr>
        <w:t xml:space="preserve"> 254980  </w:t>
      </w:r>
      <w:r>
        <w:rPr>
          <w:rFonts w:eastAsiaTheme="minorEastAsia"/>
          <w:b/>
          <w:bCs/>
          <w:color w:val="000000" w:themeColor="text1"/>
          <w:szCs w:val="21"/>
          <w:u w:val="single"/>
          <w14:textFill>
            <w14:solidFill>
              <w14:schemeClr w14:val="tx1"/>
            </w14:solidFill>
          </w14:textFill>
        </w:rPr>
        <w:t xml:space="preserve"> </w:t>
      </w:r>
      <w:r>
        <w:rPr>
          <w:rFonts w:eastAsiaTheme="minorEastAsia"/>
          <w:b/>
          <w:bCs/>
          <w:color w:val="000000" w:themeColor="text1"/>
          <w:szCs w:val="21"/>
          <w14:textFill>
            <w14:solidFill>
              <w14:schemeClr w14:val="tx1"/>
            </w14:solidFill>
          </w14:textFill>
        </w:rPr>
        <w:t xml:space="preserve">元，报价高于采购人期望值的（采购人期望值=采购控制价* </w:t>
      </w:r>
      <w:r>
        <w:rPr>
          <w:rFonts w:hint="eastAsia" w:eastAsiaTheme="minorEastAsia"/>
          <w:b/>
          <w:bCs/>
          <w:color w:val="000000" w:themeColor="text1"/>
          <w:szCs w:val="21"/>
          <w14:textFill>
            <w14:solidFill>
              <w14:schemeClr w14:val="tx1"/>
            </w14:solidFill>
          </w14:textFill>
        </w:rPr>
        <w:t>100%</w:t>
      </w:r>
      <w:r>
        <w:rPr>
          <w:rFonts w:eastAsiaTheme="minorEastAsia"/>
          <w:b/>
          <w:bCs/>
          <w:color w:val="000000" w:themeColor="text1"/>
          <w:szCs w:val="21"/>
          <w14:textFill>
            <w14:solidFill>
              <w14:schemeClr w14:val="tx1"/>
            </w14:solidFill>
          </w14:textFill>
        </w:rPr>
        <w:t>），按无效响应处理；</w:t>
      </w:r>
    </w:p>
    <w:p w14:paraId="2E99DBB5">
      <w:pPr>
        <w:pStyle w:val="18"/>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 质量要求：</w:t>
      </w:r>
      <w:r>
        <w:rPr>
          <w:rFonts w:eastAsiaTheme="minorEastAsia"/>
          <w:color w:val="000000" w:themeColor="text1"/>
          <w:szCs w:val="21"/>
          <w:u w:val="single"/>
          <w14:textFill>
            <w14:solidFill>
              <w14:schemeClr w14:val="tx1"/>
            </w14:solidFill>
          </w14:textFill>
        </w:rPr>
        <w:t xml:space="preserve"> 合格，满足竞争性谈判文件及国家现行法律法规相关要求</w:t>
      </w:r>
      <w:r>
        <w:rPr>
          <w:rFonts w:eastAsiaTheme="minorEastAsia"/>
          <w:color w:val="000000" w:themeColor="text1"/>
          <w:szCs w:val="21"/>
          <w14:textFill>
            <w14:solidFill>
              <w14:schemeClr w14:val="tx1"/>
            </w14:solidFill>
          </w14:textFill>
        </w:rPr>
        <w:t>；</w:t>
      </w:r>
    </w:p>
    <w:p w14:paraId="736840F0">
      <w:pPr>
        <w:adjustRightInd w:val="0"/>
        <w:snapToGri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2.6 采购范围：</w:t>
      </w:r>
      <w:r>
        <w:rPr>
          <w:rFonts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lang w:val="en-US" w:eastAsia="zh-CN"/>
          <w14:textFill>
            <w14:solidFill>
              <w14:schemeClr w14:val="tx1"/>
            </w14:solidFill>
          </w14:textFill>
        </w:rPr>
        <w:t>采购电缆</w:t>
      </w:r>
      <w:r>
        <w:rPr>
          <w:rFonts w:hint="eastAsia" w:eastAsiaTheme="minorEastAsia"/>
          <w:color w:val="000000" w:themeColor="text1"/>
          <w:szCs w:val="21"/>
          <w:u w:val="single"/>
          <w:lang w:eastAsia="zh-CN"/>
          <w14:textFill>
            <w14:solidFill>
              <w14:schemeClr w14:val="tx1"/>
            </w14:solidFill>
          </w14:textFill>
        </w:rPr>
        <w:t>，</w:t>
      </w:r>
      <w:r>
        <w:rPr>
          <w:rFonts w:hint="eastAsia" w:eastAsiaTheme="minorEastAsia"/>
          <w:color w:val="000000" w:themeColor="text1"/>
          <w:szCs w:val="21"/>
          <w:u w:val="single"/>
          <w14:textFill>
            <w14:solidFill>
              <w14:schemeClr w14:val="tx1"/>
            </w14:solidFill>
          </w14:textFill>
        </w:rPr>
        <w:t>具体详见货物清单</w:t>
      </w:r>
      <w:r>
        <w:rPr>
          <w:rFonts w:eastAsiaTheme="minorEastAsia"/>
          <w:color w:val="000000" w:themeColor="text1"/>
          <w:szCs w:val="21"/>
          <w14:textFill>
            <w14:solidFill>
              <w14:schemeClr w14:val="tx1"/>
            </w14:solidFill>
          </w14:textFill>
        </w:rPr>
        <w:t>。</w:t>
      </w:r>
    </w:p>
    <w:p w14:paraId="7285779F">
      <w:pPr>
        <w:adjustRightInd w:val="0"/>
        <w:snapToGrid w:val="0"/>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3.资格条件</w:t>
      </w:r>
    </w:p>
    <w:p w14:paraId="4D747FEA">
      <w:pPr>
        <w:pStyle w:val="18"/>
        <w:adjustRightInd w:val="0"/>
        <w:snapToGrid w:val="0"/>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本工程采用</w:t>
      </w:r>
      <w:r>
        <w:rPr>
          <w:rFonts w:eastAsiaTheme="minorEastAsia"/>
          <w:b/>
          <w:bCs/>
          <w:color w:val="000000" w:themeColor="text1"/>
          <w:szCs w:val="21"/>
          <w14:textFill>
            <w14:solidFill>
              <w14:schemeClr w14:val="tx1"/>
            </w14:solidFill>
          </w14:textFill>
        </w:rPr>
        <w:t>资格后审</w:t>
      </w:r>
      <w:r>
        <w:rPr>
          <w:rFonts w:eastAsiaTheme="minorEastAsia"/>
          <w:color w:val="000000" w:themeColor="text1"/>
          <w:szCs w:val="21"/>
          <w14:textFill>
            <w14:solidFill>
              <w14:schemeClr w14:val="tx1"/>
            </w14:solidFill>
          </w14:textFill>
        </w:rPr>
        <w:t>方式，以下条件属于资格审查合格条件：</w:t>
      </w:r>
    </w:p>
    <w:p w14:paraId="2B9AA6DF">
      <w:pPr>
        <w:pStyle w:val="18"/>
        <w:adjustRightInd w:val="0"/>
        <w:snapToGrid w:val="0"/>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 供应商是具有独立订立合同的能力且能独立承担民事责任的法人或者其他组织；</w:t>
      </w:r>
    </w:p>
    <w:p w14:paraId="4AFC1936">
      <w:pPr>
        <w:spacing w:line="360" w:lineRule="exact"/>
        <w:ind w:firstLine="420"/>
        <w:rPr>
          <w:kern w:val="0"/>
          <w:szCs w:val="21"/>
        </w:rPr>
      </w:pPr>
      <w:r>
        <w:rPr>
          <w:rFonts w:hint="eastAsia"/>
          <w:kern w:val="0"/>
          <w:szCs w:val="21"/>
        </w:rPr>
        <w:t>3.2 业绩要求</w:t>
      </w:r>
      <w:r>
        <w:rPr>
          <w:rFonts w:hint="eastAsia"/>
          <w:b/>
          <w:bCs/>
          <w:kern w:val="0"/>
          <w:szCs w:val="21"/>
        </w:rPr>
        <w:t>：</w:t>
      </w:r>
    </w:p>
    <w:p w14:paraId="5F889585">
      <w:pPr>
        <w:spacing w:line="360" w:lineRule="exact"/>
        <w:ind w:firstLine="420"/>
        <w:rPr>
          <w:kern w:val="0"/>
          <w:szCs w:val="21"/>
        </w:rPr>
      </w:pPr>
      <w:r>
        <w:rPr>
          <w:kern w:val="0"/>
          <w:szCs w:val="21"/>
        </w:rPr>
        <w:t>3.</w:t>
      </w:r>
      <w:r>
        <w:rPr>
          <w:rFonts w:hint="eastAsia"/>
          <w:kern w:val="0"/>
          <w:szCs w:val="21"/>
        </w:rPr>
        <w:t>3</w:t>
      </w:r>
      <w:r>
        <w:rPr>
          <w:kern w:val="0"/>
          <w:szCs w:val="21"/>
        </w:rPr>
        <w:t xml:space="preserve"> 信誉要求：</w:t>
      </w:r>
    </w:p>
    <w:p w14:paraId="37A9209B">
      <w:pPr>
        <w:spacing w:line="360" w:lineRule="exact"/>
        <w:ind w:firstLine="420"/>
        <w:jc w:val="left"/>
        <w:rPr>
          <w:szCs w:val="21"/>
        </w:rPr>
      </w:pPr>
      <w:r>
        <w:rPr>
          <w:kern w:val="0"/>
          <w:szCs w:val="21"/>
        </w:rPr>
        <w:t>3.</w:t>
      </w:r>
      <w:r>
        <w:rPr>
          <w:rFonts w:hint="eastAsia"/>
          <w:kern w:val="0"/>
          <w:szCs w:val="21"/>
        </w:rPr>
        <w:t>3</w:t>
      </w:r>
      <w:r>
        <w:rPr>
          <w:kern w:val="0"/>
          <w:szCs w:val="21"/>
        </w:rPr>
        <w:t>.1未被有关部门限制在采购项目所在地承接项目的；</w:t>
      </w:r>
    </w:p>
    <w:p w14:paraId="01A1297E">
      <w:pPr>
        <w:spacing w:line="360" w:lineRule="exact"/>
        <w:ind w:firstLine="420"/>
        <w:jc w:val="left"/>
        <w:rPr>
          <w:kern w:val="0"/>
          <w:szCs w:val="21"/>
        </w:rPr>
      </w:pPr>
      <w:r>
        <w:rPr>
          <w:kern w:val="0"/>
          <w:szCs w:val="21"/>
        </w:rPr>
        <w:t>3.</w:t>
      </w:r>
      <w:r>
        <w:rPr>
          <w:rFonts w:hint="eastAsia"/>
          <w:kern w:val="0"/>
          <w:szCs w:val="21"/>
        </w:rPr>
        <w:t>3</w:t>
      </w:r>
      <w:r>
        <w:rPr>
          <w:kern w:val="0"/>
          <w:szCs w:val="21"/>
        </w:rPr>
        <w:t>.2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3146A035">
      <w:pPr>
        <w:spacing w:line="360" w:lineRule="exact"/>
        <w:ind w:firstLine="420"/>
        <w:jc w:val="left"/>
        <w:rPr>
          <w:kern w:val="0"/>
          <w:szCs w:val="21"/>
        </w:rPr>
      </w:pPr>
      <w:r>
        <w:rPr>
          <w:szCs w:val="21"/>
        </w:rPr>
        <w:t>注：以</w:t>
      </w:r>
      <w:r>
        <w:rPr>
          <w:kern w:val="0"/>
          <w:szCs w:val="21"/>
        </w:rPr>
        <w:t>上信誉要求内容由各供应商按照谈判文件附件承诺书要求进行承诺，并承担作出虚假承诺的一切后果。</w:t>
      </w:r>
    </w:p>
    <w:p w14:paraId="17411C83">
      <w:pPr>
        <w:pStyle w:val="18"/>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供应商不得存在下列情形之一：</w:t>
      </w:r>
    </w:p>
    <w:p w14:paraId="1A1AA2AA">
      <w:pPr>
        <w:pStyle w:val="18"/>
        <w:spacing w:after="0" w:line="360" w:lineRule="exact"/>
        <w:ind w:firstLine="420"/>
        <w:jc w:val="left"/>
        <w:rPr>
          <w:color w:val="000000"/>
          <w:szCs w:val="21"/>
        </w:rPr>
      </w:pPr>
      <w:r>
        <w:rPr>
          <w:color w:val="000000"/>
          <w:szCs w:val="21"/>
        </w:rPr>
        <w:t>（1）为采购人不具有独立法人资格的附属机构（单位）；</w:t>
      </w:r>
    </w:p>
    <w:p w14:paraId="793DBB76">
      <w:pPr>
        <w:pStyle w:val="18"/>
        <w:spacing w:after="0" w:line="360" w:lineRule="exact"/>
        <w:ind w:firstLine="420"/>
        <w:jc w:val="left"/>
        <w:rPr>
          <w:color w:val="000000"/>
          <w:szCs w:val="21"/>
        </w:rPr>
      </w:pPr>
      <w:r>
        <w:rPr>
          <w:color w:val="000000"/>
          <w:szCs w:val="21"/>
        </w:rPr>
        <w:t>（2）为本项目的监理人、代建人、项目管理人，以及为本项目提供采购代理、设计服务的；</w:t>
      </w:r>
    </w:p>
    <w:p w14:paraId="30212A9E">
      <w:pPr>
        <w:pStyle w:val="18"/>
        <w:spacing w:after="0" w:line="360" w:lineRule="exact"/>
        <w:ind w:firstLine="420"/>
        <w:jc w:val="left"/>
        <w:rPr>
          <w:color w:val="000000"/>
          <w:szCs w:val="21"/>
        </w:rPr>
      </w:pPr>
      <w:r>
        <w:rPr>
          <w:color w:val="000000"/>
          <w:szCs w:val="21"/>
        </w:rPr>
        <w:t>（3）与本项目的监理人、代建人、采购代理机构同为一个法定代表人的，或者相互控股、参股的；</w:t>
      </w:r>
    </w:p>
    <w:p w14:paraId="28556379">
      <w:pPr>
        <w:pStyle w:val="18"/>
        <w:spacing w:after="0" w:line="360" w:lineRule="exact"/>
        <w:ind w:firstLine="420"/>
        <w:jc w:val="left"/>
        <w:rPr>
          <w:color w:val="000000"/>
          <w:szCs w:val="21"/>
        </w:rPr>
      </w:pPr>
      <w:r>
        <w:rPr>
          <w:color w:val="000000"/>
          <w:szCs w:val="21"/>
        </w:rPr>
        <w:t>（4）与采购人存在利害关系可能影响采购公正性的；</w:t>
      </w:r>
    </w:p>
    <w:p w14:paraId="6B4116B4">
      <w:pPr>
        <w:pStyle w:val="18"/>
        <w:spacing w:after="0" w:line="360" w:lineRule="exact"/>
        <w:ind w:firstLine="420"/>
        <w:jc w:val="left"/>
        <w:rPr>
          <w:color w:val="000000"/>
          <w:szCs w:val="21"/>
        </w:rPr>
      </w:pPr>
      <w:r>
        <w:rPr>
          <w:color w:val="000000"/>
          <w:szCs w:val="21"/>
        </w:rPr>
        <w:t>（5）单位负责人为同一人或者存在控股、管理关系的；</w:t>
      </w:r>
    </w:p>
    <w:p w14:paraId="291B837E">
      <w:pPr>
        <w:pStyle w:val="18"/>
        <w:spacing w:after="0" w:line="360" w:lineRule="exact"/>
        <w:ind w:firstLine="420"/>
        <w:jc w:val="left"/>
        <w:rPr>
          <w:color w:val="000000"/>
          <w:szCs w:val="21"/>
        </w:rPr>
      </w:pPr>
      <w:r>
        <w:rPr>
          <w:color w:val="000000"/>
          <w:szCs w:val="21"/>
        </w:rPr>
        <w:t>（6）存在同一人直接关联任职股东或高管（董事长、总经理、董事、监事）的；</w:t>
      </w:r>
    </w:p>
    <w:p w14:paraId="2CA32C2B">
      <w:pPr>
        <w:pStyle w:val="18"/>
        <w:spacing w:after="0" w:line="360" w:lineRule="exact"/>
        <w:ind w:firstLine="420"/>
        <w:jc w:val="left"/>
        <w:rPr>
          <w:color w:val="000000"/>
          <w:szCs w:val="21"/>
        </w:rPr>
      </w:pPr>
      <w:r>
        <w:rPr>
          <w:color w:val="000000"/>
          <w:szCs w:val="21"/>
        </w:rPr>
        <w:t>（7）处于被责令停业、财产被接管、冻结和破产状态，以及投标（供应商）资格被取消或者被暂停且在暂停期内；</w:t>
      </w:r>
    </w:p>
    <w:p w14:paraId="0A61C73F">
      <w:pPr>
        <w:pStyle w:val="18"/>
        <w:spacing w:after="0" w:line="360" w:lineRule="exact"/>
        <w:ind w:firstLine="420"/>
        <w:jc w:val="left"/>
        <w:rPr>
          <w:color w:val="000000"/>
          <w:szCs w:val="21"/>
        </w:rPr>
      </w:pPr>
      <w:r>
        <w:rPr>
          <w:color w:val="000000"/>
          <w:szCs w:val="21"/>
        </w:rPr>
        <w:t>（8）因拖欠工人工资或者发生质量安全事故被有关部门限制在采购项目所在地承接工程的。</w:t>
      </w:r>
    </w:p>
    <w:p w14:paraId="0D933DF4">
      <w:pPr>
        <w:pStyle w:val="18"/>
        <w:spacing w:after="0"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5</w:t>
      </w:r>
      <w:r>
        <w:rPr>
          <w:rFonts w:eastAsiaTheme="minorEastAsia"/>
          <w:color w:val="000000" w:themeColor="text1"/>
          <w:szCs w:val="21"/>
          <w14:textFill>
            <w14:solidFill>
              <w14:schemeClr w14:val="tx1"/>
            </w14:solidFill>
          </w14:textFill>
        </w:rPr>
        <w:t>本项目</w:t>
      </w:r>
      <w:r>
        <w:rPr>
          <w:rFonts w:eastAsiaTheme="minorEastAsia"/>
          <w:b/>
          <w:bCs/>
          <w:color w:val="000000" w:themeColor="text1"/>
          <w:szCs w:val="21"/>
          <w:u w:val="single"/>
          <w14:textFill>
            <w14:solidFill>
              <w14:schemeClr w14:val="tx1"/>
            </w14:solidFill>
          </w14:textFill>
        </w:rPr>
        <w:t>不</w:t>
      </w:r>
      <w:r>
        <w:rPr>
          <w:rFonts w:eastAsiaTheme="minorEastAsia"/>
          <w:b/>
          <w:color w:val="000000" w:themeColor="text1"/>
          <w:szCs w:val="21"/>
          <w:u w:val="single"/>
          <w14:textFill>
            <w14:solidFill>
              <w14:schemeClr w14:val="tx1"/>
            </w14:solidFill>
          </w14:textFill>
        </w:rPr>
        <w:t>接受</w:t>
      </w:r>
      <w:r>
        <w:rPr>
          <w:rFonts w:eastAsiaTheme="minorEastAsia"/>
          <w:color w:val="000000" w:themeColor="text1"/>
          <w:szCs w:val="21"/>
          <w14:textFill>
            <w14:solidFill>
              <w14:schemeClr w14:val="tx1"/>
            </w14:solidFill>
          </w14:textFill>
        </w:rPr>
        <w:t>联合体参与谈判。</w:t>
      </w:r>
    </w:p>
    <w:p w14:paraId="24239B1F">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4.谈判文件的获取</w:t>
      </w:r>
    </w:p>
    <w:p w14:paraId="3B2F6DBF">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4.1谈判文件的获取时间为：</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2025 </w:t>
      </w:r>
      <w:r>
        <w:rPr>
          <w:rFonts w:eastAsiaTheme="minorEastAsia"/>
          <w:bCs/>
          <w:color w:val="000000" w:themeColor="text1"/>
          <w:szCs w:val="21"/>
          <w14:textFill>
            <w14:solidFill>
              <w14:schemeClr w14:val="tx1"/>
            </w14:solidFill>
          </w14:textFill>
        </w:rPr>
        <w:t>年</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9 </w:t>
      </w:r>
      <w:r>
        <w:rPr>
          <w:rFonts w:eastAsiaTheme="minorEastAsia"/>
          <w:bCs/>
          <w:color w:val="000000" w:themeColor="text1"/>
          <w:szCs w:val="21"/>
          <w14:textFill>
            <w14:solidFill>
              <w14:schemeClr w14:val="tx1"/>
            </w14:solidFill>
          </w14:textFill>
        </w:rPr>
        <w:t>月</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10 </w:t>
      </w:r>
      <w:r>
        <w:rPr>
          <w:rFonts w:eastAsiaTheme="minorEastAsia"/>
          <w:bCs/>
          <w:color w:val="000000" w:themeColor="text1"/>
          <w:szCs w:val="21"/>
          <w14:textFill>
            <w14:solidFill>
              <w14:schemeClr w14:val="tx1"/>
            </w14:solidFill>
          </w14:textFill>
        </w:rPr>
        <w:t>日至</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2025 </w:t>
      </w:r>
      <w:r>
        <w:rPr>
          <w:rFonts w:eastAsiaTheme="minorEastAsia"/>
          <w:bCs/>
          <w:color w:val="000000" w:themeColor="text1"/>
          <w:szCs w:val="21"/>
          <w14:textFill>
            <w14:solidFill>
              <w14:schemeClr w14:val="tx1"/>
            </w14:solidFill>
          </w14:textFill>
        </w:rPr>
        <w:t>年</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9 </w:t>
      </w:r>
      <w:r>
        <w:rPr>
          <w:rFonts w:eastAsiaTheme="minorEastAsia"/>
          <w:bCs/>
          <w:color w:val="000000" w:themeColor="text1"/>
          <w:szCs w:val="21"/>
          <w14:textFill>
            <w14:solidFill>
              <w14:schemeClr w14:val="tx1"/>
            </w14:solidFill>
          </w14:textFill>
        </w:rPr>
        <w:t>月</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15 </w:t>
      </w:r>
      <w:r>
        <w:rPr>
          <w:rFonts w:eastAsiaTheme="minorEastAsia"/>
          <w:bCs/>
          <w:color w:val="000000" w:themeColor="text1"/>
          <w:szCs w:val="21"/>
          <w14:textFill>
            <w14:solidFill>
              <w14:schemeClr w14:val="tx1"/>
            </w14:solidFill>
          </w14:textFill>
        </w:rPr>
        <w:t>日</w:t>
      </w:r>
      <w:r>
        <w:rPr>
          <w:rFonts w:hint="eastAsia" w:eastAsiaTheme="minorEastAsia"/>
          <w:bCs/>
          <w:color w:val="000000" w:themeColor="text1"/>
          <w:szCs w:val="21"/>
          <w:u w:val="single"/>
          <w:lang w:val="en-US" w:eastAsia="zh-CN"/>
          <w14:textFill>
            <w14:solidFill>
              <w14:schemeClr w14:val="tx1"/>
            </w14:solidFill>
          </w14:textFill>
        </w:rPr>
        <w:t xml:space="preserve">  9:30 </w:t>
      </w:r>
      <w:r>
        <w:rPr>
          <w:rFonts w:eastAsiaTheme="minorEastAsia"/>
          <w:bCs/>
          <w:color w:val="000000" w:themeColor="text1"/>
          <w:szCs w:val="21"/>
          <w14:textFill>
            <w14:solidFill>
              <w14:schemeClr w14:val="tx1"/>
            </w14:solidFill>
          </w14:textFill>
        </w:rPr>
        <w:t>；</w:t>
      </w:r>
    </w:p>
    <w:p w14:paraId="4DCBAC5B">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4.2 谈判文件获取方式：供应商登录“方洋集团物资采购平台”（ 网址“http://cg.fygroup.com/）获取。点击“确认受理”即视为报名成功，否则响应文件不予接收；（特别提醒：供应商报名成功后，可在供应商中心“报价作业”栏查询到所参与项目）。</w:t>
      </w:r>
    </w:p>
    <w:p w14:paraId="05F460BD">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★4.3供应商应在谈判响应文件递交截止时间前随时查看“方洋集团物资采购平台”中有关该项目谈判文件的答疑和相关内容。否则，因此引起的后果由供应商自行承担。</w:t>
      </w:r>
    </w:p>
    <w:p w14:paraId="5AE3DF85">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注：初次在“方洋集团物资采购平台注册”的供应商请综合考虑注册和审核时间（审核时间为1个工作日），方洋集团物资采购平台附有供应商操作视频（位于“会员中心”页面），如遇技术问题可咨询平台网页左上方咨询热线，由此造成无法报名、报价信息填写错误、无法参与采购活动等情况的，后果自行承担。</w:t>
      </w:r>
    </w:p>
    <w:p w14:paraId="48289408">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5.响应文件递交截止时间及谈判方式</w:t>
      </w:r>
    </w:p>
    <w:p w14:paraId="69151084">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 响应文件递交截止时间为：</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2025 </w:t>
      </w:r>
      <w:r>
        <w:rPr>
          <w:rFonts w:eastAsiaTheme="minorEastAsia"/>
          <w:bCs/>
          <w:color w:val="000000" w:themeColor="text1"/>
          <w:szCs w:val="21"/>
          <w14:textFill>
            <w14:solidFill>
              <w14:schemeClr w14:val="tx1"/>
            </w14:solidFill>
          </w14:textFill>
        </w:rPr>
        <w:t>年</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 9 </w:t>
      </w:r>
      <w:r>
        <w:rPr>
          <w:rFonts w:eastAsiaTheme="minorEastAsia"/>
          <w:bCs/>
          <w:color w:val="000000" w:themeColor="text1"/>
          <w:szCs w:val="21"/>
          <w:u w:val="single"/>
          <w14:textFill>
            <w14:solidFill>
              <w14:schemeClr w14:val="tx1"/>
            </w14:solidFill>
          </w14:textFill>
        </w:rPr>
        <w:t xml:space="preserve"> </w:t>
      </w:r>
      <w:r>
        <w:rPr>
          <w:rFonts w:eastAsiaTheme="minorEastAsia"/>
          <w:bCs/>
          <w:color w:val="000000" w:themeColor="text1"/>
          <w:szCs w:val="21"/>
          <w14:textFill>
            <w14:solidFill>
              <w14:schemeClr w14:val="tx1"/>
            </w14:solidFill>
          </w14:textFill>
        </w:rPr>
        <w:t>月</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  15  </w:t>
      </w:r>
      <w:r>
        <w:rPr>
          <w:rFonts w:hint="eastAsia" w:eastAsiaTheme="minorEastAsia"/>
          <w:bCs/>
          <w:color w:val="000000" w:themeColor="text1"/>
          <w:szCs w:val="21"/>
          <w:u w:val="single"/>
          <w14:textFill>
            <w14:solidFill>
              <w14:schemeClr w14:val="tx1"/>
            </w14:solidFill>
          </w14:textFill>
        </w:rPr>
        <w:t xml:space="preserve"> </w:t>
      </w:r>
      <w:r>
        <w:rPr>
          <w:rFonts w:eastAsiaTheme="minorEastAsia"/>
          <w:bCs/>
          <w:color w:val="000000" w:themeColor="text1"/>
          <w:szCs w:val="21"/>
          <w14:textFill>
            <w14:solidFill>
              <w14:schemeClr w14:val="tx1"/>
            </w14:solidFill>
          </w14:textFill>
        </w:rPr>
        <w:t>日</w:t>
      </w:r>
      <w:r>
        <w:rPr>
          <w:rFonts w:eastAsiaTheme="minorEastAsia"/>
          <w:bCs/>
          <w:color w:val="000000" w:themeColor="text1"/>
          <w:szCs w:val="21"/>
          <w:u w:val="single"/>
          <w14:textFill>
            <w14:solidFill>
              <w14:schemeClr w14:val="tx1"/>
            </w14:solidFill>
          </w14:textFill>
        </w:rPr>
        <w:t xml:space="preserve"> </w:t>
      </w:r>
      <w:r>
        <w:rPr>
          <w:rFonts w:hint="eastAsia" w:eastAsiaTheme="minorEastAsia"/>
          <w:bCs/>
          <w:color w:val="000000" w:themeColor="text1"/>
          <w:szCs w:val="21"/>
          <w:u w:val="single"/>
          <w:lang w:val="en-US" w:eastAsia="zh-CN"/>
          <w14:textFill>
            <w14:solidFill>
              <w14:schemeClr w14:val="tx1"/>
            </w14:solidFill>
          </w14:textFill>
        </w:rPr>
        <w:t xml:space="preserve">  10:00  </w:t>
      </w:r>
      <w:r>
        <w:rPr>
          <w:rFonts w:hint="eastAsia" w:eastAsiaTheme="minorEastAsia"/>
          <w:bCs/>
          <w:color w:val="000000" w:themeColor="text1"/>
          <w:szCs w:val="21"/>
          <w:u w:val="single"/>
          <w14:textFill>
            <w14:solidFill>
              <w14:schemeClr w14:val="tx1"/>
            </w14:solidFill>
          </w14:textFill>
        </w:rPr>
        <w:t xml:space="preserve"> </w:t>
      </w:r>
      <w:r>
        <w:rPr>
          <w:rFonts w:eastAsiaTheme="minorEastAsia"/>
          <w:bCs/>
          <w:color w:val="000000" w:themeColor="text1"/>
          <w:szCs w:val="21"/>
          <w14:textFill>
            <w14:solidFill>
              <w14:schemeClr w14:val="tx1"/>
            </w14:solidFill>
          </w14:textFill>
        </w:rPr>
        <w:t>；</w:t>
      </w:r>
    </w:p>
    <w:p w14:paraId="266834D4">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5.2 递交地点：本项目采用“不见面”开标，盖章响应文件扫描后上传至“方洋集团物资采购平台”</w:t>
      </w:r>
      <w:r>
        <w:rPr>
          <w:rFonts w:eastAsiaTheme="minorEastAsia"/>
          <w:b/>
          <w:color w:val="000000" w:themeColor="text1"/>
          <w:szCs w:val="21"/>
          <w14:textFill>
            <w14:solidFill>
              <w14:schemeClr w14:val="tx1"/>
            </w14:solidFill>
          </w14:textFill>
        </w:rPr>
        <w:t>（盖章扫描件应为纸质件盖章后彩色扫描pdf文档，勿使用电子签章）</w:t>
      </w:r>
      <w:r>
        <w:rPr>
          <w:rFonts w:eastAsiaTheme="minorEastAsia"/>
          <w:bCs/>
          <w:color w:val="000000" w:themeColor="text1"/>
          <w:szCs w:val="21"/>
          <w14:textFill>
            <w14:solidFill>
              <w14:schemeClr w14:val="tx1"/>
            </w14:solidFill>
          </w14:textFill>
        </w:rPr>
        <w:t>。因供应商原因造成响应文件在规定的时间内未能正常下载的，该响应文件将被拒绝；</w:t>
      </w:r>
    </w:p>
    <w:bookmarkEnd w:id="3"/>
    <w:bookmarkEnd w:id="4"/>
    <w:bookmarkEnd w:id="5"/>
    <w:bookmarkEnd w:id="6"/>
    <w:bookmarkEnd w:id="7"/>
    <w:bookmarkEnd w:id="8"/>
    <w:bookmarkEnd w:id="9"/>
    <w:bookmarkEnd w:id="11"/>
    <w:p w14:paraId="514B70BD">
      <w:pPr>
        <w:spacing w:line="360" w:lineRule="exact"/>
        <w:ind w:firstLine="422"/>
        <w:jc w:val="left"/>
        <w:rPr>
          <w:rFonts w:eastAsiaTheme="minorEastAsia"/>
          <w:bCs/>
          <w:color w:val="000000" w:themeColor="text1"/>
          <w:szCs w:val="21"/>
          <w14:textFill>
            <w14:solidFill>
              <w14:schemeClr w14:val="tx1"/>
            </w14:solidFill>
          </w14:textFill>
        </w:rPr>
      </w:pPr>
      <w:r>
        <w:rPr>
          <w:b/>
          <w:bCs/>
          <w:szCs w:val="21"/>
        </w:rPr>
        <w:t>5.3逾期上传响应文件的，采购人不予受理。</w:t>
      </w:r>
    </w:p>
    <w:p w14:paraId="24B9FCC9">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6.评审入围条件及评审办法</w:t>
      </w:r>
    </w:p>
    <w:p w14:paraId="1A6D6D5D">
      <w:pPr>
        <w:pStyle w:val="106"/>
        <w:adjustRightInd w:val="0"/>
        <w:snapToGrid w:val="0"/>
        <w:spacing w:line="360" w:lineRule="exact"/>
        <w:jc w:val="left"/>
        <w:rPr>
          <w:b/>
          <w:bCs/>
          <w:sz w:val="21"/>
          <w:szCs w:val="21"/>
        </w:rPr>
      </w:pPr>
      <w:r>
        <w:rPr>
          <w:sz w:val="21"/>
          <w:szCs w:val="21"/>
        </w:rPr>
        <w:t>6.1</w:t>
      </w:r>
      <w:r>
        <w:rPr>
          <w:rFonts w:eastAsiaTheme="minorEastAsia"/>
          <w:sz w:val="21"/>
          <w:szCs w:val="21"/>
        </w:rPr>
        <w:t>评审</w:t>
      </w:r>
      <w:r>
        <w:rPr>
          <w:sz w:val="21"/>
          <w:szCs w:val="21"/>
        </w:rPr>
        <w:t>入围条件：</w:t>
      </w:r>
      <w:r>
        <w:rPr>
          <w:b/>
          <w:bCs/>
          <w:sz w:val="21"/>
          <w:szCs w:val="21"/>
        </w:rPr>
        <w:t>供应商响应文件响应函中载明的报价高于采购人期望值的（采购人期望值=采购控制价*</w:t>
      </w:r>
      <w:r>
        <w:rPr>
          <w:rFonts w:hint="eastAsia"/>
          <w:b/>
          <w:bCs/>
          <w:sz w:val="21"/>
          <w:szCs w:val="21"/>
        </w:rPr>
        <w:t>100</w:t>
      </w:r>
      <w:r>
        <w:rPr>
          <w:b/>
          <w:bCs/>
          <w:sz w:val="21"/>
          <w:szCs w:val="21"/>
        </w:rPr>
        <w:t>%），不再进行后续评审。</w:t>
      </w:r>
    </w:p>
    <w:p w14:paraId="43D5B5DE">
      <w:pPr>
        <w:pStyle w:val="106"/>
        <w:adjustRightInd w:val="0"/>
        <w:snapToGrid w:val="0"/>
        <w:spacing w:line="360" w:lineRule="exac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6.2评审办法：经评审的最低价法，谈判评审小组对满足谈判文件实质要求的响应文件进行评审，按最终报价由低到高的顺序推荐成交候选人。</w:t>
      </w:r>
    </w:p>
    <w:p w14:paraId="1910593F">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7.谈判保证金</w:t>
      </w:r>
    </w:p>
    <w:p w14:paraId="6C978C4E">
      <w:pPr>
        <w:spacing w:line="360" w:lineRule="exact"/>
        <w:ind w:firstLine="420"/>
        <w:rPr>
          <w:szCs w:val="21"/>
        </w:rPr>
      </w:pPr>
      <w:r>
        <w:t>本项目谈判保证金为：</w:t>
      </w:r>
      <w:r>
        <w:rPr>
          <w:rFonts w:hint="eastAsia"/>
          <w:b/>
          <w:bCs/>
          <w:u w:val="single"/>
        </w:rPr>
        <w:t xml:space="preserve">  </w:t>
      </w:r>
      <w:r>
        <w:rPr>
          <w:rFonts w:hint="eastAsia"/>
          <w:b/>
          <w:bCs/>
          <w:u w:val="single"/>
          <w:lang w:val="en-US" w:eastAsia="zh-CN"/>
        </w:rPr>
        <w:t xml:space="preserve">0.5  </w:t>
      </w:r>
      <w:r>
        <w:rPr>
          <w:rFonts w:hint="eastAsia"/>
          <w:b/>
          <w:bCs/>
          <w:u w:val="single"/>
        </w:rPr>
        <w:t xml:space="preserve"> </w:t>
      </w:r>
      <w:r>
        <w:t>万元</w:t>
      </w:r>
      <w:r>
        <w:rPr>
          <w:rFonts w:hint="eastAsia"/>
        </w:rPr>
        <w:t>，</w:t>
      </w:r>
      <w:r>
        <w:rPr>
          <w:szCs w:val="21"/>
        </w:rPr>
        <w:t>供应商必须于响应文件递交截止时间前缴纳谈判保证金。采用转账、电汇、网银等形式缴纳谈判保证金的，保证金应以供应商的存款账户缴纳，以个人、企业的办事处、分公司、子公司名义或从他人账户缴纳的谈判保证金无效。</w:t>
      </w:r>
    </w:p>
    <w:p w14:paraId="038880D7">
      <w:pPr>
        <w:topLinePunct/>
        <w:adjustRightInd w:val="0"/>
        <w:snapToGrid w:val="0"/>
        <w:spacing w:line="360" w:lineRule="exact"/>
        <w:ind w:firstLine="420"/>
        <w:rPr>
          <w:rFonts w:ascii="宋体" w:hAnsi="宋体" w:cs="宋体"/>
          <w:szCs w:val="21"/>
        </w:rPr>
      </w:pPr>
      <w:r>
        <w:rPr>
          <w:rFonts w:hint="eastAsia" w:ascii="宋体" w:hAnsi="宋体" w:cs="宋体"/>
          <w:szCs w:val="21"/>
        </w:rPr>
        <w:t>请将谈判保证金汇入以下账户：</w:t>
      </w:r>
    </w:p>
    <w:p w14:paraId="2110174B">
      <w:pPr>
        <w:topLinePunct/>
        <w:adjustRightInd w:val="0"/>
        <w:snapToGrid w:val="0"/>
        <w:spacing w:line="360" w:lineRule="exact"/>
        <w:ind w:firstLine="420"/>
        <w:rPr>
          <w:rFonts w:ascii="宋体" w:hAnsi="宋体" w:cs="宋体"/>
          <w:szCs w:val="21"/>
        </w:rPr>
      </w:pPr>
      <w:r>
        <w:rPr>
          <w:rFonts w:hint="eastAsia" w:ascii="宋体" w:hAnsi="宋体" w:cs="宋体"/>
          <w:szCs w:val="21"/>
        </w:rPr>
        <w:t>收 款 人：江苏方洋能源科技有限公司</w:t>
      </w:r>
    </w:p>
    <w:p w14:paraId="6AD54770">
      <w:pPr>
        <w:topLinePunct/>
        <w:adjustRightInd w:val="0"/>
        <w:snapToGrid w:val="0"/>
        <w:spacing w:line="360" w:lineRule="exact"/>
        <w:ind w:firstLine="420"/>
        <w:rPr>
          <w:rFonts w:ascii="宋体" w:hAnsi="宋体" w:cs="宋体"/>
          <w:szCs w:val="21"/>
        </w:rPr>
      </w:pPr>
      <w:r>
        <w:rPr>
          <w:rFonts w:hint="eastAsia" w:ascii="宋体" w:hAnsi="宋体" w:cs="宋体"/>
          <w:szCs w:val="21"/>
        </w:rPr>
        <w:t>开 户 行：中国建设银行连云港徐圩支行</w:t>
      </w:r>
    </w:p>
    <w:p w14:paraId="53E71AA6">
      <w:pPr>
        <w:topLinePunct/>
        <w:adjustRightInd w:val="0"/>
        <w:snapToGrid w:val="0"/>
        <w:spacing w:line="360" w:lineRule="exact"/>
        <w:ind w:firstLine="420"/>
        <w:rPr>
          <w:rFonts w:ascii="宋体" w:hAnsi="宋体" w:cs="宋体"/>
          <w:szCs w:val="21"/>
        </w:rPr>
      </w:pPr>
      <w:r>
        <w:rPr>
          <w:rFonts w:hint="eastAsia" w:ascii="宋体" w:hAnsi="宋体" w:cs="宋体"/>
          <w:szCs w:val="21"/>
        </w:rPr>
        <w:t>帐    号：32050110472800000009</w:t>
      </w:r>
    </w:p>
    <w:p w14:paraId="1C7286E4">
      <w:pPr>
        <w:topLinePunct/>
        <w:adjustRightInd w:val="0"/>
        <w:snapToGrid w:val="0"/>
        <w:spacing w:line="360" w:lineRule="exact"/>
        <w:ind w:firstLine="420"/>
        <w:rPr>
          <w:rFonts w:ascii="宋体" w:hAnsi="宋体" w:cs="宋体"/>
          <w:szCs w:val="21"/>
        </w:rPr>
      </w:pPr>
      <w:r>
        <w:rPr>
          <w:rFonts w:hint="eastAsia" w:ascii="宋体" w:hAnsi="宋体" w:cs="宋体"/>
          <w:szCs w:val="21"/>
        </w:rPr>
        <w:t>谈判保证金缴纳时应注明：</w:t>
      </w:r>
      <w:r>
        <w:rPr>
          <w:rFonts w:hint="eastAsia" w:ascii="宋体" w:hAnsi="宋体" w:cs="宋体"/>
          <w:b/>
          <w:bCs/>
          <w:szCs w:val="21"/>
          <w:u w:val="single"/>
          <w:lang w:eastAsia="zh-CN"/>
        </w:rPr>
        <w:t>徐圩新区增量配电网输配电线路防外破改造施工回流线采购</w:t>
      </w:r>
      <w:r>
        <w:rPr>
          <w:rFonts w:hint="eastAsia" w:ascii="宋体" w:hAnsi="宋体" w:cs="宋体"/>
          <w:b/>
          <w:bCs/>
          <w:szCs w:val="21"/>
          <w:u w:val="single"/>
        </w:rPr>
        <w:t xml:space="preserve"> </w:t>
      </w:r>
      <w:r>
        <w:rPr>
          <w:rFonts w:hint="eastAsia" w:ascii="宋体" w:hAnsi="宋体" w:cs="宋体"/>
          <w:szCs w:val="21"/>
        </w:rPr>
        <w:t>谈判保证金。</w:t>
      </w:r>
      <w:r>
        <w:rPr>
          <w:rFonts w:hint="eastAsia" w:ascii="宋体" w:hAnsi="宋体" w:cs="宋体"/>
          <w:b/>
          <w:bCs/>
          <w:szCs w:val="21"/>
        </w:rPr>
        <w:t>（若项目名称字数过多可简写关键字）</w:t>
      </w:r>
    </w:p>
    <w:p w14:paraId="0BFB067C">
      <w:pPr>
        <w:topLinePunct/>
        <w:adjustRightInd w:val="0"/>
        <w:snapToGrid w:val="0"/>
        <w:spacing w:line="360" w:lineRule="exact"/>
        <w:ind w:firstLine="422"/>
        <w:rPr>
          <w:rFonts w:ascii="宋体" w:hAnsi="宋体" w:cs="宋体"/>
          <w:b/>
          <w:bCs/>
          <w:szCs w:val="21"/>
        </w:rPr>
      </w:pPr>
      <w:r>
        <w:rPr>
          <w:rFonts w:hint="eastAsia" w:ascii="宋体" w:hAnsi="宋体" w:cs="宋体"/>
          <w:b/>
          <w:bCs/>
          <w:szCs w:val="21"/>
        </w:rPr>
        <w:t>特别提醒：</w:t>
      </w:r>
    </w:p>
    <w:p w14:paraId="51329EAD">
      <w:pPr>
        <w:topLinePunct/>
        <w:adjustRightInd w:val="0"/>
        <w:snapToGrid w:val="0"/>
        <w:spacing w:line="360" w:lineRule="exact"/>
        <w:ind w:firstLine="422"/>
        <w:rPr>
          <w:rFonts w:ascii="宋体" w:hAnsi="宋体" w:cs="宋体"/>
          <w:b/>
          <w:bCs/>
          <w:szCs w:val="21"/>
        </w:rPr>
      </w:pPr>
      <w:r>
        <w:rPr>
          <w:rFonts w:hint="eastAsia" w:ascii="宋体" w:hAnsi="宋体" w:cs="宋体"/>
          <w:b/>
          <w:bCs/>
          <w:szCs w:val="21"/>
        </w:rPr>
        <w:t>（1）谈判保证金的付方开户行须明确备注到支行级别，供应商将谈判保证金银行汇款凭单附在响应文件中，否则采购人无法准确退还谈判保证金。</w:t>
      </w:r>
    </w:p>
    <w:p w14:paraId="457D5669">
      <w:pPr>
        <w:topLinePunct/>
        <w:adjustRightInd w:val="0"/>
        <w:spacing w:line="360" w:lineRule="exact"/>
        <w:ind w:firstLine="422"/>
        <w:rPr>
          <w:rFonts w:ascii="宋体" w:hAnsi="宋体" w:cs="宋体"/>
          <w:b/>
          <w:bCs/>
          <w:szCs w:val="21"/>
        </w:rPr>
      </w:pPr>
      <w:r>
        <w:rPr>
          <w:rFonts w:hint="eastAsia" w:ascii="宋体" w:hAnsi="宋体" w:cs="宋体"/>
          <w:b/>
          <w:bCs/>
          <w:szCs w:val="21"/>
        </w:rPr>
        <w:t>（2）缴纳项目保证金的供应商，谈判时付款回单（复印件）作为有效的保证金依据。已缴纳年度保证金的供应商，无需缴纳项目谈判保证金，谈判时须展示年度谈判保证金收款收据（复印件）作为有效的保证金依据。</w:t>
      </w:r>
    </w:p>
    <w:p w14:paraId="53ABE035">
      <w:pPr>
        <w:spacing w:line="360" w:lineRule="exact"/>
        <w:ind w:firstLine="422"/>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 xml:space="preserve">8.发布公告媒介 </w:t>
      </w:r>
    </w:p>
    <w:p w14:paraId="3CE6F891">
      <w:pPr>
        <w:spacing w:line="360" w:lineRule="exact"/>
        <w:ind w:firstLine="420"/>
      </w:pPr>
      <w:r>
        <w:t>本次采购公告在</w:t>
      </w:r>
      <w:r>
        <w:rPr>
          <w:b/>
          <w:bCs/>
          <w:u w:val="single"/>
        </w:rPr>
        <w:t>中国招标投标公共服务平台、</w:t>
      </w:r>
      <w:r>
        <w:rPr>
          <w:rFonts w:hint="eastAsia"/>
          <w:b/>
          <w:bCs/>
          <w:u w:val="single"/>
        </w:rPr>
        <w:t>江苏省招标投标公共服务平台、</w:t>
      </w:r>
      <w:r>
        <w:rPr>
          <w:b/>
          <w:bCs/>
          <w:u w:val="single"/>
        </w:rPr>
        <w:t>方洋集团物资采购平台上</w:t>
      </w:r>
      <w:r>
        <w:t>同时发布。</w:t>
      </w:r>
    </w:p>
    <w:p w14:paraId="36F9042F">
      <w:pPr>
        <w:spacing w:line="360" w:lineRule="exact"/>
        <w:ind w:firstLine="422"/>
      </w:pPr>
      <w:r>
        <w:rPr>
          <w:b/>
          <w:bCs/>
          <w:u w:val="single"/>
        </w:rPr>
        <w:t>中国招标投标公共服务平台</w:t>
      </w:r>
      <w:r>
        <w:rPr>
          <w:rFonts w:hint="eastAsia"/>
          <w:b/>
          <w:bCs/>
          <w:u w:val="single"/>
        </w:rPr>
        <w:t>、江苏省招标投标公共服务平台</w:t>
      </w:r>
      <w:r>
        <w:t>网址仅发布采购公告，供应商须在</w:t>
      </w:r>
      <w:r>
        <w:rPr>
          <w:b/>
          <w:bCs/>
        </w:rPr>
        <w:t>方洋集团物资采购平台</w:t>
      </w:r>
      <w:r>
        <w:t>报名并获取采购文件。后续相关答疑、开标等事宜均在</w:t>
      </w:r>
      <w:r>
        <w:rPr>
          <w:b/>
          <w:bCs/>
        </w:rPr>
        <w:t>方洋集团物资采购平台</w:t>
      </w:r>
      <w:r>
        <w:t>进行，请供应商随时关注相关信息。</w:t>
      </w:r>
    </w:p>
    <w:p w14:paraId="48D58DBF">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9.本次竞争性谈判报名相关事项联系人及联系电话：</w:t>
      </w:r>
    </w:p>
    <w:tbl>
      <w:tblPr>
        <w:tblStyle w:val="49"/>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1"/>
      </w:tblGrid>
      <w:tr w14:paraId="3394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261D7B8C">
            <w:pPr>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 购 人：江苏方洋能源科技有限公司</w:t>
            </w:r>
          </w:p>
        </w:tc>
        <w:tc>
          <w:tcPr>
            <w:tcW w:w="4531" w:type="dxa"/>
          </w:tcPr>
          <w:p w14:paraId="0E22C2E9">
            <w:pPr>
              <w:adjustRightInd w:val="0"/>
              <w:snapToGrid w:val="0"/>
              <w:spacing w:line="360" w:lineRule="exact"/>
              <w:ind w:firstLine="0" w:firstLineChars="0"/>
              <w:rPr>
                <w:color w:val="000000" w:themeColor="text1"/>
                <w:szCs w:val="21"/>
                <w14:textFill>
                  <w14:solidFill>
                    <w14:schemeClr w14:val="tx1"/>
                  </w14:solidFill>
                </w14:textFill>
              </w:rPr>
            </w:pPr>
          </w:p>
        </w:tc>
      </w:tr>
      <w:tr w14:paraId="4301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1B58D8E7">
            <w:pPr>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rFonts w:hint="eastAsia"/>
                <w:color w:val="000000"/>
                <w:szCs w:val="21"/>
              </w:rPr>
              <w:t>连云港市连云区南京路与徐圩大道交叉路口</w:t>
            </w:r>
            <w:r>
              <w:rPr>
                <w:rFonts w:hint="eastAsia"/>
                <w:color w:val="000000"/>
                <w:szCs w:val="21"/>
                <w:lang w:val="en-US" w:eastAsia="zh-CN"/>
              </w:rPr>
              <w:t>东</w:t>
            </w:r>
            <w:r>
              <w:rPr>
                <w:rFonts w:hint="eastAsia"/>
                <w:color w:val="000000"/>
                <w:szCs w:val="21"/>
              </w:rPr>
              <w:t>口岸商务服务中心</w:t>
            </w:r>
          </w:p>
        </w:tc>
        <w:tc>
          <w:tcPr>
            <w:tcW w:w="4531" w:type="dxa"/>
          </w:tcPr>
          <w:p w14:paraId="6B923811">
            <w:pPr>
              <w:spacing w:line="360" w:lineRule="exact"/>
              <w:ind w:firstLine="0" w:firstLineChars="0"/>
              <w:jc w:val="left"/>
              <w:rPr>
                <w:rFonts w:eastAsiaTheme="minorEastAsia"/>
                <w:color w:val="000000" w:themeColor="text1"/>
                <w:szCs w:val="21"/>
                <w14:textFill>
                  <w14:solidFill>
                    <w14:schemeClr w14:val="tx1"/>
                  </w14:solidFill>
                </w14:textFill>
              </w:rPr>
            </w:pPr>
          </w:p>
        </w:tc>
      </w:tr>
      <w:tr w14:paraId="6F0B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60E54585">
            <w:pPr>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r>
              <w:rPr>
                <w:rFonts w:hint="eastAsia"/>
                <w:color w:val="000000" w:themeColor="text1"/>
                <w:szCs w:val="21"/>
                <w:lang w:val="en-US" w:eastAsia="zh-CN"/>
                <w14:textFill>
                  <w14:solidFill>
                    <w14:schemeClr w14:val="tx1"/>
                  </w14:solidFill>
                </w14:textFill>
              </w:rPr>
              <w:t>王</w:t>
            </w:r>
            <w:r>
              <w:rPr>
                <w:color w:val="000000" w:themeColor="text1"/>
                <w:szCs w:val="21"/>
                <w14:textFill>
                  <w14:solidFill>
                    <w14:schemeClr w14:val="tx1"/>
                  </w14:solidFill>
                </w14:textFill>
              </w:rPr>
              <w:t>工</w:t>
            </w:r>
          </w:p>
        </w:tc>
        <w:tc>
          <w:tcPr>
            <w:tcW w:w="4531" w:type="dxa"/>
          </w:tcPr>
          <w:p w14:paraId="469A72E5">
            <w:pPr>
              <w:spacing w:line="360" w:lineRule="exact"/>
              <w:ind w:firstLine="0" w:firstLineChars="0"/>
              <w:jc w:val="left"/>
              <w:rPr>
                <w:rFonts w:eastAsiaTheme="minorEastAsia"/>
                <w:color w:val="000000" w:themeColor="text1"/>
                <w:szCs w:val="21"/>
                <w14:textFill>
                  <w14:solidFill>
                    <w14:schemeClr w14:val="tx1"/>
                  </w14:solidFill>
                </w14:textFill>
              </w:rPr>
            </w:pPr>
          </w:p>
        </w:tc>
      </w:tr>
      <w:tr w14:paraId="62AE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5D5BA968">
            <w:pPr>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rFonts w:hint="eastAsia"/>
                <w:color w:val="000000" w:themeColor="text1"/>
                <w:szCs w:val="21"/>
                <w14:textFill>
                  <w14:solidFill>
                    <w14:schemeClr w14:val="tx1"/>
                  </w14:solidFill>
                </w14:textFill>
              </w:rPr>
              <w:t>15961324322</w:t>
            </w:r>
          </w:p>
        </w:tc>
        <w:tc>
          <w:tcPr>
            <w:tcW w:w="4531" w:type="dxa"/>
          </w:tcPr>
          <w:p w14:paraId="73448C3D">
            <w:pPr>
              <w:spacing w:line="360" w:lineRule="exact"/>
              <w:ind w:firstLine="0" w:firstLineChars="0"/>
              <w:jc w:val="left"/>
              <w:rPr>
                <w:color w:val="000000" w:themeColor="text1"/>
                <w:szCs w:val="21"/>
                <w14:textFill>
                  <w14:solidFill>
                    <w14:schemeClr w14:val="tx1"/>
                  </w14:solidFill>
                </w14:textFill>
              </w:rPr>
            </w:pPr>
          </w:p>
        </w:tc>
      </w:tr>
      <w:tr w14:paraId="588C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11A41C48">
            <w:pPr>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r>
              <w:t>/</w:t>
            </w:r>
          </w:p>
        </w:tc>
        <w:tc>
          <w:tcPr>
            <w:tcW w:w="4531" w:type="dxa"/>
          </w:tcPr>
          <w:p w14:paraId="4C5FC4DF">
            <w:pPr>
              <w:spacing w:line="360" w:lineRule="exact"/>
              <w:ind w:firstLine="0" w:firstLineChars="0"/>
              <w:jc w:val="left"/>
              <w:rPr>
                <w:color w:val="000000" w:themeColor="text1"/>
                <w:szCs w:val="21"/>
                <w14:textFill>
                  <w14:solidFill>
                    <w14:schemeClr w14:val="tx1"/>
                  </w14:solidFill>
                </w14:textFill>
              </w:rPr>
            </w:pPr>
          </w:p>
        </w:tc>
      </w:tr>
    </w:tbl>
    <w:p w14:paraId="30565F78">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p>
    <w:p w14:paraId="1965865E">
      <w:pPr>
        <w:pStyle w:val="2"/>
        <w:spacing w:after="360" w:line="400" w:lineRule="atLeast"/>
        <w:ind w:firstLine="0" w:firstLineChars="0"/>
        <w:jc w:val="center"/>
        <w:rPr>
          <w:rFonts w:ascii="Times New Roman" w:hAnsi="Times New Roman"/>
          <w:b w:val="0"/>
          <w:color w:val="000000" w:themeColor="text1"/>
          <w:kern w:val="2"/>
          <w:szCs w:val="24"/>
          <w14:textFill>
            <w14:solidFill>
              <w14:schemeClr w14:val="tx1"/>
            </w14:solidFill>
          </w14:textFill>
        </w:rPr>
      </w:pPr>
      <w:bookmarkStart w:id="12" w:name="_Toc27919"/>
      <w:r>
        <w:rPr>
          <w:rFonts w:ascii="Times New Roman" w:hAnsi="Times New Roman"/>
          <w:b w:val="0"/>
          <w:color w:val="000000" w:themeColor="text1"/>
          <w:kern w:val="2"/>
          <w:szCs w:val="24"/>
          <w14:textFill>
            <w14:solidFill>
              <w14:schemeClr w14:val="tx1"/>
            </w14:solidFill>
          </w14:textFill>
        </w:rPr>
        <w:t>第二章 供应商须知</w:t>
      </w:r>
      <w:bookmarkEnd w:id="12"/>
    </w:p>
    <w:p w14:paraId="3B83C5B1">
      <w:pPr>
        <w:pStyle w:val="18"/>
        <w:ind w:firstLine="0" w:firstLineChars="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供应商须知前附表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065C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05649888">
            <w:pPr>
              <w:keepLines/>
              <w:widowControl/>
              <w:spacing w:line="36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条款号</w:t>
            </w:r>
          </w:p>
        </w:tc>
        <w:tc>
          <w:tcPr>
            <w:tcW w:w="2269" w:type="dxa"/>
            <w:vAlign w:val="center"/>
          </w:tcPr>
          <w:p w14:paraId="25CD63B1">
            <w:pPr>
              <w:keepLines/>
              <w:widowControl/>
              <w:spacing w:line="36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条款名称</w:t>
            </w:r>
          </w:p>
        </w:tc>
        <w:tc>
          <w:tcPr>
            <w:tcW w:w="5581" w:type="dxa"/>
            <w:vAlign w:val="center"/>
          </w:tcPr>
          <w:p w14:paraId="52C209D1">
            <w:pPr>
              <w:keepLines/>
              <w:widowControl/>
              <w:spacing w:line="36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编列内容</w:t>
            </w:r>
          </w:p>
        </w:tc>
      </w:tr>
      <w:tr w14:paraId="2EE9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3BCB0B62">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1.1.1</w:t>
            </w:r>
          </w:p>
        </w:tc>
        <w:tc>
          <w:tcPr>
            <w:tcW w:w="2269" w:type="dxa"/>
            <w:vAlign w:val="center"/>
          </w:tcPr>
          <w:p w14:paraId="57F7D5B2">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w:t>
            </w:r>
          </w:p>
        </w:tc>
        <w:tc>
          <w:tcPr>
            <w:tcW w:w="5581" w:type="dxa"/>
            <w:vAlign w:val="center"/>
          </w:tcPr>
          <w:p w14:paraId="679C47FE">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名  称：江苏方洋能源科技有限公司</w:t>
            </w:r>
          </w:p>
          <w:p w14:paraId="07C321B5">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rFonts w:hint="eastAsia"/>
                <w:color w:val="000000"/>
                <w:szCs w:val="21"/>
              </w:rPr>
              <w:t>连云港市连云区南京路与徐圩大道交叉路口</w:t>
            </w:r>
            <w:r>
              <w:rPr>
                <w:rFonts w:hint="eastAsia"/>
                <w:color w:val="000000"/>
                <w:szCs w:val="21"/>
                <w:lang w:val="en-US" w:eastAsia="zh-CN"/>
              </w:rPr>
              <w:t>东</w:t>
            </w:r>
            <w:r>
              <w:rPr>
                <w:rFonts w:hint="eastAsia"/>
                <w:color w:val="000000"/>
                <w:szCs w:val="21"/>
              </w:rPr>
              <w:t>口岸商务服务中心</w:t>
            </w:r>
          </w:p>
          <w:p w14:paraId="20C3B553">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r>
              <w:rPr>
                <w:rFonts w:hint="eastAsia"/>
                <w:color w:val="000000" w:themeColor="text1"/>
                <w:szCs w:val="21"/>
                <w:lang w:val="en-US" w:eastAsia="zh-CN"/>
                <w14:textFill>
                  <w14:solidFill>
                    <w14:schemeClr w14:val="tx1"/>
                  </w14:solidFill>
                </w14:textFill>
              </w:rPr>
              <w:t>王</w:t>
            </w:r>
            <w:r>
              <w:rPr>
                <w:color w:val="000000" w:themeColor="text1"/>
                <w:szCs w:val="21"/>
                <w14:textFill>
                  <w14:solidFill>
                    <w14:schemeClr w14:val="tx1"/>
                  </w14:solidFill>
                </w14:textFill>
              </w:rPr>
              <w:t>工</w:t>
            </w:r>
          </w:p>
          <w:p w14:paraId="67F6104B">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rFonts w:hint="eastAsia"/>
                <w:color w:val="000000" w:themeColor="text1"/>
                <w:szCs w:val="21"/>
                <w14:textFill>
                  <w14:solidFill>
                    <w14:schemeClr w14:val="tx1"/>
                  </w14:solidFill>
                </w14:textFill>
              </w:rPr>
              <w:t>15961324322</w:t>
            </w:r>
          </w:p>
        </w:tc>
      </w:tr>
      <w:tr w14:paraId="2B51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35B97881">
            <w:pPr>
              <w:keepLines/>
              <w:widowControl/>
              <w:spacing w:line="360" w:lineRule="exact"/>
              <w:ind w:firstLine="0" w:firstLineChars="0"/>
              <w:jc w:val="left"/>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1.1.</w:t>
            </w:r>
            <w:r>
              <w:rPr>
                <w:rFonts w:hint="eastAsia"/>
                <w:color w:val="000000" w:themeColor="text1"/>
                <w:szCs w:val="21"/>
                <w:lang w:val="en-US" w:eastAsia="zh-CN"/>
                <w14:textFill>
                  <w14:solidFill>
                    <w14:schemeClr w14:val="tx1"/>
                  </w14:solidFill>
                </w14:textFill>
              </w:rPr>
              <w:t>2</w:t>
            </w:r>
          </w:p>
        </w:tc>
        <w:tc>
          <w:tcPr>
            <w:tcW w:w="2269" w:type="dxa"/>
            <w:vAlign w:val="center"/>
          </w:tcPr>
          <w:p w14:paraId="3A2C9F2D">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5581" w:type="dxa"/>
            <w:vAlign w:val="center"/>
          </w:tcPr>
          <w:p w14:paraId="164FF9B9">
            <w:pPr>
              <w:keepLines/>
              <w:widowControl/>
              <w:spacing w:line="360" w:lineRule="exact"/>
              <w:ind w:firstLine="0" w:firstLineChars="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徐圩新区增量配电网输配电线路防外破改造施工回流线采购</w:t>
            </w:r>
          </w:p>
        </w:tc>
      </w:tr>
      <w:tr w14:paraId="17E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8DE239E">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1.1.3</w:t>
            </w:r>
          </w:p>
        </w:tc>
        <w:tc>
          <w:tcPr>
            <w:tcW w:w="2269" w:type="dxa"/>
            <w:vAlign w:val="center"/>
          </w:tcPr>
          <w:p w14:paraId="2DDF27F4">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5581" w:type="dxa"/>
            <w:vAlign w:val="center"/>
          </w:tcPr>
          <w:p w14:paraId="0000F8D9">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徐圩新区</w:t>
            </w:r>
          </w:p>
        </w:tc>
      </w:tr>
      <w:tr w14:paraId="6772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8C95BBB">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1.2.1</w:t>
            </w:r>
          </w:p>
        </w:tc>
        <w:tc>
          <w:tcPr>
            <w:tcW w:w="2269" w:type="dxa"/>
            <w:vAlign w:val="center"/>
          </w:tcPr>
          <w:p w14:paraId="5EF04629">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资金来源</w:t>
            </w:r>
          </w:p>
        </w:tc>
        <w:tc>
          <w:tcPr>
            <w:tcW w:w="5581" w:type="dxa"/>
            <w:vAlign w:val="center"/>
          </w:tcPr>
          <w:p w14:paraId="72FBE5B8">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自筹</w:t>
            </w:r>
          </w:p>
        </w:tc>
      </w:tr>
      <w:tr w14:paraId="7D81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D1DA5AB">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1.2.2</w:t>
            </w:r>
          </w:p>
        </w:tc>
        <w:tc>
          <w:tcPr>
            <w:tcW w:w="2269" w:type="dxa"/>
            <w:vAlign w:val="center"/>
          </w:tcPr>
          <w:p w14:paraId="6FF6B6CF">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出资比例</w:t>
            </w:r>
          </w:p>
        </w:tc>
        <w:tc>
          <w:tcPr>
            <w:tcW w:w="5581" w:type="dxa"/>
            <w:vAlign w:val="center"/>
          </w:tcPr>
          <w:p w14:paraId="5AC771AA">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14:paraId="35CC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8740545">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1.2.3</w:t>
            </w:r>
          </w:p>
        </w:tc>
        <w:tc>
          <w:tcPr>
            <w:tcW w:w="2269" w:type="dxa"/>
            <w:vAlign w:val="center"/>
          </w:tcPr>
          <w:p w14:paraId="2948D4E2">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资金落实情况</w:t>
            </w:r>
          </w:p>
        </w:tc>
        <w:tc>
          <w:tcPr>
            <w:tcW w:w="5581" w:type="dxa"/>
            <w:vAlign w:val="center"/>
          </w:tcPr>
          <w:p w14:paraId="088E40DB">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已落实</w:t>
            </w:r>
          </w:p>
        </w:tc>
      </w:tr>
      <w:tr w14:paraId="06D2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12" w:type="dxa"/>
            <w:vAlign w:val="center"/>
          </w:tcPr>
          <w:p w14:paraId="5E1C4386">
            <w:pPr>
              <w:keepLines/>
              <w:widowControl/>
              <w:spacing w:line="360" w:lineRule="exact"/>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1.2.4</w:t>
            </w:r>
          </w:p>
        </w:tc>
        <w:tc>
          <w:tcPr>
            <w:tcW w:w="2269" w:type="dxa"/>
            <w:vAlign w:val="center"/>
          </w:tcPr>
          <w:p w14:paraId="5C1390DF">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支付方式</w:t>
            </w:r>
          </w:p>
        </w:tc>
        <w:tc>
          <w:tcPr>
            <w:tcW w:w="5581" w:type="dxa"/>
            <w:vAlign w:val="center"/>
          </w:tcPr>
          <w:p w14:paraId="19C994BC">
            <w:pPr>
              <w:keepLines/>
              <w:widowControl/>
              <w:spacing w:line="360" w:lineRule="exact"/>
              <w:ind w:firstLine="0" w:firstLineChars="0"/>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发货前付至合同金额的70%，付款前卖方需提供等额无条件见索即付银行保函，保函期限为30日历天，抽检合格后或货到现场30天内付至实际供货金额的100%，质保期2年。付款方式为现金或银行承兑汇票。（付款前，乙方需开具与付款金额一致的正式增值税专用发票，税率为13%，因国家税制改革或乙方为小规模纳税人而引发的增值税税率的变化，本合同应适用调整后最新税率，合同原约定的不含税价不因税率变化而改变）</w:t>
            </w:r>
          </w:p>
        </w:tc>
      </w:tr>
      <w:tr w14:paraId="57C1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12" w:type="dxa"/>
            <w:vAlign w:val="center"/>
          </w:tcPr>
          <w:p w14:paraId="6A595300">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1.3.1</w:t>
            </w:r>
          </w:p>
        </w:tc>
        <w:tc>
          <w:tcPr>
            <w:tcW w:w="2269" w:type="dxa"/>
            <w:vAlign w:val="center"/>
          </w:tcPr>
          <w:p w14:paraId="734C1466">
            <w:pPr>
              <w:keepLines/>
              <w:widowControl/>
              <w:spacing w:line="360" w:lineRule="exact"/>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采购范围</w:t>
            </w:r>
          </w:p>
        </w:tc>
        <w:tc>
          <w:tcPr>
            <w:tcW w:w="5581" w:type="dxa"/>
            <w:vAlign w:val="center"/>
          </w:tcPr>
          <w:p w14:paraId="4884F43C">
            <w:pPr>
              <w:pStyle w:val="18"/>
              <w:keepLines/>
              <w:widowControl/>
              <w:spacing w:after="0" w:line="360" w:lineRule="exact"/>
              <w:ind w:firstLine="0" w:firstLineChars="0"/>
              <w:rPr>
                <w:color w:val="000000" w:themeColor="text1"/>
                <w:szCs w:val="21"/>
                <w14:textFill>
                  <w14:solidFill>
                    <w14:schemeClr w14:val="tx1"/>
                  </w14:solidFill>
                </w14:textFill>
              </w:rPr>
            </w:pPr>
            <w:r>
              <w:rPr>
                <w:rFonts w:hint="eastAsia" w:eastAsiaTheme="minorEastAsia"/>
                <w:color w:val="000000" w:themeColor="text1"/>
                <w:szCs w:val="21"/>
                <w:u w:val="single"/>
                <w:lang w:val="en-US" w:eastAsia="zh-CN"/>
                <w14:textFill>
                  <w14:solidFill>
                    <w14:schemeClr w14:val="tx1"/>
                  </w14:solidFill>
                </w14:textFill>
              </w:rPr>
              <w:t>采购电缆</w:t>
            </w:r>
            <w:r>
              <w:rPr>
                <w:rFonts w:hint="eastAsia"/>
                <w:color w:val="000000" w:themeColor="text1"/>
                <w:szCs w:val="21"/>
                <w14:textFill>
                  <w14:solidFill>
                    <w14:schemeClr w14:val="tx1"/>
                  </w14:solidFill>
                </w14:textFill>
              </w:rPr>
              <w:t>，具体详见货物清单。</w:t>
            </w:r>
          </w:p>
        </w:tc>
      </w:tr>
      <w:tr w14:paraId="0416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F89B78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2BFB1332">
            <w:pPr>
              <w:keepLines/>
              <w:widowControl/>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供货期</w:t>
            </w:r>
          </w:p>
        </w:tc>
        <w:tc>
          <w:tcPr>
            <w:tcW w:w="5581" w:type="dxa"/>
            <w:tcBorders>
              <w:top w:val="single" w:color="auto" w:sz="4" w:space="0"/>
              <w:left w:val="single" w:color="auto" w:sz="4" w:space="0"/>
              <w:bottom w:val="single" w:color="auto" w:sz="4" w:space="0"/>
              <w:right w:val="single" w:color="auto" w:sz="4" w:space="0"/>
            </w:tcBorders>
            <w:vAlign w:val="center"/>
          </w:tcPr>
          <w:p w14:paraId="2ABD8D96">
            <w:pPr>
              <w:keepLines/>
              <w:widowControl/>
              <w:spacing w:line="360" w:lineRule="exact"/>
              <w:ind w:firstLine="0" w:firstLineChars="0"/>
              <w:rPr>
                <w:rFonts w:eastAsiaTheme="minorEastAsia"/>
                <w:color w:val="000000" w:themeColor="text1"/>
                <w:kern w:val="0"/>
                <w:szCs w:val="21"/>
                <w14:textFill>
                  <w14:solidFill>
                    <w14:schemeClr w14:val="tx1"/>
                  </w14:solidFill>
                </w14:textFill>
              </w:rPr>
            </w:pPr>
            <w:r>
              <w:rPr>
                <w:rFonts w:hint="eastAsia" w:eastAsiaTheme="minorEastAsia"/>
                <w:color w:val="000000" w:themeColor="text1"/>
                <w:szCs w:val="21"/>
                <w:u w:val="single"/>
                <w:lang w:val="en-US" w:eastAsia="zh-CN"/>
                <w14:textFill>
                  <w14:solidFill>
                    <w14:schemeClr w14:val="tx1"/>
                  </w14:solidFill>
                </w14:textFill>
              </w:rPr>
              <w:t>10</w:t>
            </w:r>
            <w:r>
              <w:rPr>
                <w:rFonts w:eastAsiaTheme="minorEastAsia"/>
                <w:color w:val="000000" w:themeColor="text1"/>
                <w:szCs w:val="21"/>
                <w14:textFill>
                  <w14:solidFill>
                    <w14:schemeClr w14:val="tx1"/>
                  </w14:solidFill>
                </w14:textFill>
              </w:rPr>
              <w:t>日历天,实际开始时间以采购人通知为准；</w:t>
            </w:r>
          </w:p>
        </w:tc>
      </w:tr>
      <w:tr w14:paraId="65B5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A4891C8">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01480D9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784F9D9C">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合格，满足谈判文件及国家现行法律法规相关要求 </w:t>
            </w:r>
          </w:p>
        </w:tc>
      </w:tr>
      <w:tr w14:paraId="5B3F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E18B3A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6E38F168">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6902992E">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详见竞争性谈判公告</w:t>
            </w:r>
          </w:p>
        </w:tc>
      </w:tr>
      <w:tr w14:paraId="17A7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04F71B2">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6800CF3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4A8CE5E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详见竞争性谈判公告</w:t>
            </w:r>
          </w:p>
        </w:tc>
      </w:tr>
      <w:tr w14:paraId="50A0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C83DA83">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1B934854">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1BE307CF">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供应商自行踏勘</w:t>
            </w:r>
          </w:p>
        </w:tc>
      </w:tr>
      <w:tr w14:paraId="5316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124457D">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2E5BE8CD">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51C4EE9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不允许分包</w:t>
            </w:r>
          </w:p>
        </w:tc>
      </w:tr>
      <w:tr w14:paraId="308C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5F14A8C">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2.1.1（7）</w:t>
            </w:r>
          </w:p>
        </w:tc>
        <w:tc>
          <w:tcPr>
            <w:tcW w:w="2269" w:type="dxa"/>
            <w:tcBorders>
              <w:top w:val="single" w:color="auto" w:sz="4" w:space="0"/>
              <w:left w:val="single" w:color="auto" w:sz="4" w:space="0"/>
              <w:bottom w:val="single" w:color="auto" w:sz="4" w:space="0"/>
              <w:right w:val="single" w:color="auto" w:sz="4" w:space="0"/>
            </w:tcBorders>
            <w:vAlign w:val="center"/>
          </w:tcPr>
          <w:p w14:paraId="1BE9DFE0">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05512C02">
            <w:pPr>
              <w:keepLines/>
              <w:widowControl/>
              <w:tabs>
                <w:tab w:val="left" w:pos="826"/>
              </w:tabs>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图纸、澄清、修改</w:t>
            </w:r>
          </w:p>
        </w:tc>
      </w:tr>
      <w:tr w14:paraId="6BDE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8BBA363">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189E2505">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20E64C3F">
            <w:pPr>
              <w:keepLines/>
              <w:widowControl/>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响应文件递交截止时间2日前</w:t>
            </w:r>
          </w:p>
        </w:tc>
      </w:tr>
      <w:tr w14:paraId="578C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D0BB74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1FFADE0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63931240">
            <w:pPr>
              <w:keepLines/>
              <w:widowControl/>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响应文件递交截止时间2日前</w:t>
            </w:r>
          </w:p>
        </w:tc>
      </w:tr>
      <w:tr w14:paraId="7EFB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BB89EA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w:t>
            </w:r>
          </w:p>
        </w:tc>
        <w:tc>
          <w:tcPr>
            <w:tcW w:w="2269" w:type="dxa"/>
            <w:tcBorders>
              <w:top w:val="single" w:color="auto" w:sz="4" w:space="0"/>
              <w:left w:val="single" w:color="auto" w:sz="4" w:space="0"/>
              <w:bottom w:val="single" w:color="auto" w:sz="4" w:space="0"/>
              <w:right w:val="single" w:color="auto" w:sz="4" w:space="0"/>
            </w:tcBorders>
            <w:vAlign w:val="center"/>
          </w:tcPr>
          <w:p w14:paraId="350CDFB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采购控制价</w:t>
            </w:r>
          </w:p>
        </w:tc>
        <w:tc>
          <w:tcPr>
            <w:tcW w:w="5581" w:type="dxa"/>
            <w:tcBorders>
              <w:top w:val="single" w:color="auto" w:sz="4" w:space="0"/>
              <w:left w:val="single" w:color="auto" w:sz="4" w:space="0"/>
              <w:bottom w:val="single" w:color="auto" w:sz="4" w:space="0"/>
              <w:right w:val="single" w:color="auto" w:sz="4" w:space="0"/>
            </w:tcBorders>
            <w:vAlign w:val="center"/>
          </w:tcPr>
          <w:p w14:paraId="67B5335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详见竞争性谈判公告</w:t>
            </w:r>
          </w:p>
        </w:tc>
      </w:tr>
      <w:tr w14:paraId="53F9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BF0C86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64037F78">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响应文件组成</w:t>
            </w:r>
          </w:p>
        </w:tc>
        <w:tc>
          <w:tcPr>
            <w:tcW w:w="5581" w:type="dxa"/>
            <w:tcBorders>
              <w:top w:val="single" w:color="auto" w:sz="4" w:space="0"/>
              <w:left w:val="single" w:color="auto" w:sz="4" w:space="0"/>
              <w:bottom w:val="single" w:color="auto" w:sz="4" w:space="0"/>
              <w:right w:val="single" w:color="auto" w:sz="4" w:space="0"/>
            </w:tcBorders>
          </w:tcPr>
          <w:p w14:paraId="3E06196F">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1.目录及索引表</w:t>
            </w:r>
          </w:p>
          <w:p w14:paraId="5813505F">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2.响应函</w:t>
            </w:r>
          </w:p>
          <w:p w14:paraId="3B140DFE">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3.法定代表人身份证明书</w:t>
            </w:r>
          </w:p>
          <w:p w14:paraId="36B87D76">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4.授权委托书</w:t>
            </w:r>
          </w:p>
          <w:p w14:paraId="799FBD25">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5.供应商承诺书</w:t>
            </w:r>
          </w:p>
          <w:p w14:paraId="2E5940F1">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6.供应商基本情况表、企业营业执照、资质证书、开户许可证（或存款账户信息）</w:t>
            </w:r>
          </w:p>
          <w:p w14:paraId="2B83886E">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7.保证金缴纳回执</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如要求提供</w:t>
            </w:r>
            <w:r>
              <w:rPr>
                <w:rFonts w:hint="eastAsia" w:eastAsiaTheme="minorEastAsia"/>
                <w:color w:val="000000" w:themeColor="text1"/>
                <w:szCs w:val="21"/>
                <w14:textFill>
                  <w14:solidFill>
                    <w14:schemeClr w14:val="tx1"/>
                  </w14:solidFill>
                </w14:textFill>
              </w:rPr>
              <w:t>）</w:t>
            </w:r>
          </w:p>
          <w:p w14:paraId="69BE07FB">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w:t>
            </w:r>
            <w:r>
              <w:rPr>
                <w:rFonts w:eastAsiaTheme="minorEastAsia"/>
                <w:color w:val="000000" w:themeColor="text1"/>
                <w:szCs w:val="21"/>
                <w14:textFill>
                  <w14:solidFill>
                    <w14:schemeClr w14:val="tx1"/>
                  </w14:solidFill>
                </w14:textFill>
              </w:rPr>
              <w:t>.已标价的货物清单及单价分析表</w:t>
            </w:r>
          </w:p>
          <w:p w14:paraId="51824735">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9</w:t>
            </w:r>
            <w:r>
              <w:rPr>
                <w:rFonts w:eastAsiaTheme="minorEastAsia"/>
                <w:color w:val="000000" w:themeColor="text1"/>
                <w:szCs w:val="21"/>
                <w14:textFill>
                  <w14:solidFill>
                    <w14:schemeClr w14:val="tx1"/>
                  </w14:solidFill>
                </w14:textFill>
              </w:rPr>
              <w:t>.品牌要求响应表（如要求提供）</w:t>
            </w:r>
          </w:p>
          <w:p w14:paraId="23C3C0E2">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0.</w:t>
            </w:r>
            <w:r>
              <w:rPr>
                <w:rFonts w:eastAsiaTheme="minorEastAsia"/>
                <w:color w:val="000000" w:themeColor="text1"/>
                <w:szCs w:val="21"/>
                <w14:textFill>
                  <w14:solidFill>
                    <w14:schemeClr w14:val="tx1"/>
                  </w14:solidFill>
                </w14:textFill>
              </w:rPr>
              <w:t>必配的专用工具及备品备件响应表（如要求提供）</w:t>
            </w:r>
          </w:p>
          <w:p w14:paraId="155CC07A">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1</w:t>
            </w:r>
            <w:r>
              <w:rPr>
                <w:rFonts w:eastAsiaTheme="minorEastAsia"/>
                <w:color w:val="000000" w:themeColor="text1"/>
                <w:szCs w:val="21"/>
                <w14:textFill>
                  <w14:solidFill>
                    <w14:schemeClr w14:val="tx1"/>
                  </w14:solidFill>
                </w14:textFill>
              </w:rPr>
              <w:t>.技术规格书（如要求提供）</w:t>
            </w:r>
          </w:p>
          <w:p w14:paraId="7E19F600">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2</w:t>
            </w:r>
            <w:r>
              <w:rPr>
                <w:rFonts w:eastAsiaTheme="minorEastAsia"/>
                <w:color w:val="000000" w:themeColor="text1"/>
                <w:szCs w:val="21"/>
                <w14:textFill>
                  <w14:solidFill>
                    <w14:schemeClr w14:val="tx1"/>
                  </w14:solidFill>
                </w14:textFill>
              </w:rPr>
              <w:t>.其它材料</w:t>
            </w:r>
          </w:p>
          <w:p w14:paraId="3D032C76">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以上内容根据谈判文件要求提供并按顺序装订（排版）。</w:t>
            </w:r>
          </w:p>
        </w:tc>
      </w:tr>
      <w:tr w14:paraId="7856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21D2482">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3.2.1</w:t>
            </w:r>
          </w:p>
        </w:tc>
        <w:tc>
          <w:tcPr>
            <w:tcW w:w="2269" w:type="dxa"/>
            <w:tcBorders>
              <w:top w:val="single" w:color="auto" w:sz="4" w:space="0"/>
              <w:left w:val="single" w:color="auto" w:sz="4" w:space="0"/>
              <w:bottom w:val="single" w:color="auto" w:sz="4" w:space="0"/>
              <w:right w:val="single" w:color="auto" w:sz="4" w:space="0"/>
            </w:tcBorders>
            <w:vAlign w:val="center"/>
          </w:tcPr>
          <w:p w14:paraId="152E7CD0">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5731E7DA">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sym w:font="Wingdings 2" w:char="0052"/>
            </w:r>
            <w:r>
              <w:rPr>
                <w:rFonts w:eastAsiaTheme="minorEastAsia"/>
                <w:color w:val="000000" w:themeColor="text1"/>
                <w:szCs w:val="21"/>
                <w14:textFill>
                  <w14:solidFill>
                    <w14:schemeClr w14:val="tx1"/>
                  </w14:solidFill>
                </w14:textFill>
              </w:rPr>
              <w:t>单价合同</w:t>
            </w:r>
          </w:p>
          <w:p w14:paraId="4839608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sym w:font="Wingdings 2" w:char="00A3"/>
            </w:r>
            <w:r>
              <w:rPr>
                <w:rFonts w:eastAsiaTheme="minorEastAsia"/>
                <w:color w:val="000000" w:themeColor="text1"/>
                <w:szCs w:val="21"/>
                <w14:textFill>
                  <w14:solidFill>
                    <w14:schemeClr w14:val="tx1"/>
                  </w14:solidFill>
                </w14:textFill>
              </w:rPr>
              <w:t>总价合同</w:t>
            </w:r>
          </w:p>
        </w:tc>
      </w:tr>
      <w:tr w14:paraId="7F17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261087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3.3.1</w:t>
            </w:r>
          </w:p>
        </w:tc>
        <w:tc>
          <w:tcPr>
            <w:tcW w:w="2269" w:type="dxa"/>
            <w:tcBorders>
              <w:top w:val="single" w:color="auto" w:sz="4" w:space="0"/>
              <w:left w:val="single" w:color="auto" w:sz="4" w:space="0"/>
              <w:bottom w:val="single" w:color="auto" w:sz="4" w:space="0"/>
              <w:right w:val="single" w:color="auto" w:sz="4" w:space="0"/>
            </w:tcBorders>
            <w:vAlign w:val="center"/>
          </w:tcPr>
          <w:p w14:paraId="250A7B3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谈判有效期</w:t>
            </w:r>
          </w:p>
        </w:tc>
        <w:tc>
          <w:tcPr>
            <w:tcW w:w="5581" w:type="dxa"/>
            <w:tcBorders>
              <w:top w:val="single" w:color="auto" w:sz="4" w:space="0"/>
              <w:left w:val="single" w:color="auto" w:sz="4" w:space="0"/>
              <w:bottom w:val="single" w:color="auto" w:sz="4" w:space="0"/>
              <w:right w:val="single" w:color="auto" w:sz="4" w:space="0"/>
            </w:tcBorders>
            <w:vAlign w:val="center"/>
          </w:tcPr>
          <w:p w14:paraId="47DB1B54">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响应文件递交截止日后</w:t>
            </w:r>
            <w:r>
              <w:rPr>
                <w:rFonts w:eastAsiaTheme="minorEastAsia"/>
                <w:color w:val="000000" w:themeColor="text1"/>
                <w:szCs w:val="21"/>
                <w:u w:val="single"/>
                <w14:textFill>
                  <w14:solidFill>
                    <w14:schemeClr w14:val="tx1"/>
                  </w14:solidFill>
                </w14:textFill>
              </w:rPr>
              <w:t xml:space="preserve"> 60 </w:t>
            </w:r>
            <w:r>
              <w:rPr>
                <w:rFonts w:eastAsiaTheme="minorEastAsia"/>
                <w:color w:val="000000" w:themeColor="text1"/>
                <w:szCs w:val="21"/>
                <w14:textFill>
                  <w14:solidFill>
                    <w14:schemeClr w14:val="tx1"/>
                  </w14:solidFill>
                </w14:textFill>
              </w:rPr>
              <w:t>日历天</w:t>
            </w:r>
          </w:p>
        </w:tc>
      </w:tr>
      <w:tr w14:paraId="0A89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C15DB0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63D33E86">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color w:val="000000"/>
                <w:szCs w:val="21"/>
              </w:rPr>
              <w:t>谈判保证金</w:t>
            </w:r>
          </w:p>
        </w:tc>
        <w:tc>
          <w:tcPr>
            <w:tcW w:w="5581" w:type="dxa"/>
            <w:tcBorders>
              <w:top w:val="single" w:color="auto" w:sz="4" w:space="0"/>
              <w:left w:val="single" w:color="auto" w:sz="4" w:space="0"/>
              <w:bottom w:val="single" w:color="auto" w:sz="4" w:space="0"/>
              <w:right w:val="single" w:color="auto" w:sz="4" w:space="0"/>
            </w:tcBorders>
          </w:tcPr>
          <w:p w14:paraId="5C9BC200">
            <w:pPr>
              <w:keepLines/>
              <w:widowControl/>
              <w:snapToGrid w:val="0"/>
              <w:spacing w:line="360" w:lineRule="exact"/>
              <w:ind w:firstLine="0" w:firstLineChars="0"/>
              <w:jc w:val="left"/>
              <w:rPr>
                <w:color w:val="000000"/>
                <w:szCs w:val="21"/>
              </w:rPr>
            </w:pPr>
            <w:r>
              <w:rPr>
                <w:color w:val="000000"/>
                <w:szCs w:val="21"/>
              </w:rPr>
              <w:t>一、谈判保证金的形式：转账、电汇、网银</w:t>
            </w:r>
          </w:p>
          <w:p w14:paraId="25695CC4">
            <w:pPr>
              <w:keepLines/>
              <w:widowControl/>
              <w:snapToGrid w:val="0"/>
              <w:spacing w:line="360" w:lineRule="exact"/>
              <w:ind w:left="420" w:hanging="420" w:hangingChars="200"/>
              <w:jc w:val="left"/>
              <w:rPr>
                <w:color w:val="000000"/>
                <w:szCs w:val="21"/>
              </w:rPr>
            </w:pPr>
            <w:r>
              <w:rPr>
                <w:color w:val="000000"/>
                <w:szCs w:val="21"/>
              </w:rPr>
              <w:t>二、谈判保证金的金额：RMB￥</w:t>
            </w:r>
            <w:r>
              <w:rPr>
                <w:rFonts w:hint="eastAsia"/>
                <w:color w:val="000000"/>
                <w:szCs w:val="21"/>
                <w:u w:val="single"/>
              </w:rPr>
              <w:t xml:space="preserve"> </w:t>
            </w:r>
            <w:r>
              <w:rPr>
                <w:rFonts w:hint="eastAsia"/>
                <w:color w:val="000000"/>
                <w:szCs w:val="21"/>
                <w:u w:val="single"/>
                <w:lang w:val="en-US" w:eastAsia="zh-CN"/>
              </w:rPr>
              <w:t xml:space="preserve">5000  </w:t>
            </w:r>
            <w:r>
              <w:rPr>
                <w:color w:val="000000"/>
                <w:szCs w:val="21"/>
              </w:rPr>
              <w:t>元(大写：人民币</w:t>
            </w:r>
            <w:r>
              <w:rPr>
                <w:rFonts w:hint="eastAsia"/>
                <w:color w:val="000000"/>
                <w:szCs w:val="21"/>
                <w:u w:val="single"/>
                <w:lang w:val="en-US" w:eastAsia="zh-CN"/>
              </w:rPr>
              <w:t xml:space="preserve">      伍仟元</w:t>
            </w:r>
            <w:r>
              <w:rPr>
                <w:rFonts w:hint="eastAsia"/>
                <w:color w:val="000000"/>
                <w:szCs w:val="21"/>
                <w:u w:val="single"/>
              </w:rPr>
              <w:t>整</w:t>
            </w:r>
            <w:r>
              <w:rPr>
                <w:color w:val="000000"/>
                <w:szCs w:val="21"/>
              </w:rPr>
              <w:t>)</w:t>
            </w:r>
          </w:p>
          <w:p w14:paraId="15846BF2">
            <w:pPr>
              <w:keepLines/>
              <w:widowControl/>
              <w:snapToGrid w:val="0"/>
              <w:spacing w:line="360" w:lineRule="exact"/>
              <w:ind w:firstLine="0" w:firstLineChars="0"/>
              <w:jc w:val="left"/>
              <w:rPr>
                <w:color w:val="000000"/>
                <w:szCs w:val="21"/>
              </w:rPr>
            </w:pPr>
            <w:r>
              <w:rPr>
                <w:color w:val="000000"/>
                <w:szCs w:val="21"/>
              </w:rPr>
              <w:t>三、收款人信息：</w:t>
            </w:r>
          </w:p>
          <w:p w14:paraId="1C45BC08">
            <w:pPr>
              <w:keepLines/>
              <w:widowControl/>
              <w:snapToGrid w:val="0"/>
              <w:spacing w:line="360" w:lineRule="exact"/>
              <w:ind w:firstLine="0" w:firstLineChars="0"/>
              <w:jc w:val="left"/>
              <w:rPr>
                <w:color w:val="000000"/>
                <w:szCs w:val="21"/>
              </w:rPr>
            </w:pPr>
            <w:r>
              <w:rPr>
                <w:color w:val="000000"/>
                <w:szCs w:val="21"/>
              </w:rPr>
              <w:t>户名：</w:t>
            </w:r>
            <w:r>
              <w:rPr>
                <w:color w:val="000000"/>
                <w:szCs w:val="21"/>
                <w:u w:val="single"/>
              </w:rPr>
              <w:t xml:space="preserve"> </w:t>
            </w:r>
            <w:r>
              <w:rPr>
                <w:rFonts w:hint="eastAsia" w:ascii="宋体" w:hAnsi="宋体" w:cs="宋体"/>
                <w:sz w:val="22"/>
                <w:szCs w:val="22"/>
                <w:u w:val="single"/>
              </w:rPr>
              <w:t>江苏方洋能源科技有限公司</w:t>
            </w:r>
            <w:r>
              <w:rPr>
                <w:color w:val="000000"/>
                <w:szCs w:val="21"/>
                <w:u w:val="single"/>
              </w:rPr>
              <w:t xml:space="preserve">  </w:t>
            </w:r>
          </w:p>
          <w:p w14:paraId="605C9C45">
            <w:pPr>
              <w:keepLines/>
              <w:widowControl/>
              <w:snapToGrid w:val="0"/>
              <w:spacing w:line="360" w:lineRule="exact"/>
              <w:ind w:firstLine="0" w:firstLineChars="0"/>
              <w:jc w:val="left"/>
              <w:rPr>
                <w:color w:val="000000"/>
                <w:szCs w:val="21"/>
              </w:rPr>
            </w:pPr>
            <w:r>
              <w:rPr>
                <w:color w:val="000000"/>
                <w:szCs w:val="21"/>
              </w:rPr>
              <w:t>开户银行：</w:t>
            </w:r>
            <w:r>
              <w:rPr>
                <w:color w:val="000000"/>
                <w:szCs w:val="21"/>
                <w:u w:val="single"/>
              </w:rPr>
              <w:t xml:space="preserve"> </w:t>
            </w:r>
            <w:r>
              <w:rPr>
                <w:rFonts w:hint="eastAsia" w:ascii="宋体" w:hAnsi="宋体" w:cs="宋体"/>
                <w:sz w:val="22"/>
                <w:szCs w:val="22"/>
                <w:u w:val="single"/>
              </w:rPr>
              <w:t>中国建设银行连云港徐圩支行</w:t>
            </w:r>
            <w:r>
              <w:rPr>
                <w:color w:val="000000"/>
                <w:szCs w:val="21"/>
                <w:u w:val="single"/>
              </w:rPr>
              <w:t xml:space="preserve"> </w:t>
            </w:r>
            <w:r>
              <w:rPr>
                <w:color w:val="000000"/>
                <w:szCs w:val="21"/>
              </w:rPr>
              <w:t xml:space="preserve">  </w:t>
            </w:r>
          </w:p>
          <w:p w14:paraId="71A93947">
            <w:pPr>
              <w:keepLines/>
              <w:widowControl/>
              <w:snapToGrid w:val="0"/>
              <w:spacing w:line="360" w:lineRule="exact"/>
              <w:ind w:firstLine="0" w:firstLineChars="0"/>
              <w:jc w:val="left"/>
              <w:rPr>
                <w:color w:val="000000"/>
                <w:szCs w:val="21"/>
              </w:rPr>
            </w:pPr>
            <w:r>
              <w:rPr>
                <w:color w:val="000000"/>
                <w:szCs w:val="21"/>
              </w:rPr>
              <w:t>账号：</w:t>
            </w:r>
            <w:r>
              <w:rPr>
                <w:rFonts w:hint="eastAsia" w:ascii="宋体" w:hAnsi="宋体" w:cs="宋体"/>
                <w:sz w:val="22"/>
                <w:szCs w:val="22"/>
                <w:u w:val="single"/>
              </w:rPr>
              <w:t>32050110472800000009</w:t>
            </w:r>
            <w:r>
              <w:rPr>
                <w:color w:val="000000"/>
                <w:szCs w:val="21"/>
              </w:rPr>
              <w:t xml:space="preserve">  </w:t>
            </w:r>
          </w:p>
          <w:p w14:paraId="79608A37">
            <w:pPr>
              <w:keepLines/>
              <w:widowControl/>
              <w:snapToGrid w:val="0"/>
              <w:spacing w:line="360" w:lineRule="exact"/>
              <w:ind w:firstLine="0" w:firstLineChars="0"/>
              <w:jc w:val="left"/>
              <w:rPr>
                <w:color w:val="000000"/>
                <w:szCs w:val="21"/>
              </w:rPr>
            </w:pPr>
            <w:r>
              <w:rPr>
                <w:color w:val="000000"/>
                <w:szCs w:val="21"/>
              </w:rPr>
              <w:t>谈判保证金缴纳时应注明：</w:t>
            </w:r>
            <w:r>
              <w:rPr>
                <w:rFonts w:hint="eastAsia"/>
                <w:color w:val="000000"/>
                <w:szCs w:val="21"/>
                <w:u w:val="single"/>
                <w:lang w:eastAsia="zh-CN"/>
              </w:rPr>
              <w:t>徐圩新区增量配电网输配电线路防外破改造施工回流线采购</w:t>
            </w:r>
            <w:r>
              <w:rPr>
                <w:color w:val="000000"/>
                <w:szCs w:val="21"/>
                <w:u w:val="single"/>
              </w:rPr>
              <w:t xml:space="preserve"> </w:t>
            </w:r>
            <w:r>
              <w:rPr>
                <w:color w:val="000000"/>
                <w:szCs w:val="21"/>
              </w:rPr>
              <w:t>保证金（如字数过多可简写项目名称关键字）</w:t>
            </w:r>
          </w:p>
          <w:p w14:paraId="36C9EF99">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注意事项：</w:t>
            </w:r>
          </w:p>
          <w:p w14:paraId="1AA741A7">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1.采用转账、电汇、网银等形式缴纳谈判保证金的，谈判保证金应以供应商的存款账户缴纳，以个人、企业的办事处、分公司、子公司名义或从他人账户缴纳的谈判保证金无效；</w:t>
            </w:r>
          </w:p>
          <w:p w14:paraId="703E3260">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2.谈判保证金的付方开户许可证中注明的开户行名称必须准确无误，如实际名称与开户许可证中注明的名称不一致请提前说明，否则采购人无法准确退还谈判保证金。如有疑问请致电</w:t>
            </w:r>
            <w:r>
              <w:rPr>
                <w:rFonts w:hint="eastAsia"/>
                <w:color w:val="000000" w:themeColor="text1"/>
                <w:szCs w:val="21"/>
                <w:u w:val="single"/>
                <w14:textFill>
                  <w14:solidFill>
                    <w14:schemeClr w14:val="tx1"/>
                  </w14:solidFill>
                </w14:textFill>
              </w:rPr>
              <w:t>15961324322</w:t>
            </w:r>
            <w:r>
              <w:rPr>
                <w:color w:val="000000" w:themeColor="text1"/>
                <w:szCs w:val="21"/>
                <w:u w:val="single"/>
                <w14:textFill>
                  <w14:solidFill>
                    <w14:schemeClr w14:val="tx1"/>
                  </w14:solidFill>
                </w14:textFill>
              </w:rPr>
              <w:t xml:space="preserve"> </w:t>
            </w:r>
            <w:r>
              <w:rPr>
                <w:rFonts w:eastAsiaTheme="minorEastAsia"/>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联系确认，联系人：</w:t>
            </w:r>
            <w:r>
              <w:rPr>
                <w:rFonts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lang w:val="en-US" w:eastAsia="zh-CN"/>
                <w14:textFill>
                  <w14:solidFill>
                    <w14:schemeClr w14:val="tx1"/>
                  </w14:solidFill>
                </w14:textFill>
              </w:rPr>
              <w:t>王</w:t>
            </w:r>
            <w:r>
              <w:rPr>
                <w:rFonts w:hint="eastAsia" w:eastAsiaTheme="minorEastAsia"/>
                <w:color w:val="000000" w:themeColor="text1"/>
                <w:szCs w:val="21"/>
                <w:u w:val="single"/>
                <w14:textFill>
                  <w14:solidFill>
                    <w14:schemeClr w14:val="tx1"/>
                  </w14:solidFill>
                </w14:textFill>
              </w:rPr>
              <w:t>工</w:t>
            </w:r>
            <w:r>
              <w:rPr>
                <w:rFonts w:eastAsiaTheme="minorEastAsia"/>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w:t>
            </w:r>
          </w:p>
          <w:p w14:paraId="0E06E4F1">
            <w:pPr>
              <w:keepLines/>
              <w:widowControl/>
              <w:shd w:val="clear" w:color="auto" w:fill="FFFFFF"/>
              <w:tabs>
                <w:tab w:val="left" w:pos="8280"/>
              </w:tabs>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3.供应商应充分考虑保证金缴纳时间段内的银行处理业务时间以及节假日等客观因素，确保在工作日及时汇出并保证按时到账。</w:t>
            </w:r>
          </w:p>
        </w:tc>
      </w:tr>
      <w:tr w14:paraId="4423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05055BF">
            <w:pPr>
              <w:keepLines/>
              <w:widowControl/>
              <w:adjustRightInd w:val="0"/>
              <w:snapToGrid w:val="0"/>
              <w:spacing w:line="360" w:lineRule="exact"/>
              <w:ind w:firstLine="0" w:firstLineChars="0"/>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3.4.2</w:t>
            </w:r>
          </w:p>
        </w:tc>
        <w:tc>
          <w:tcPr>
            <w:tcW w:w="2269" w:type="dxa"/>
            <w:tcBorders>
              <w:top w:val="single" w:color="auto" w:sz="4" w:space="0"/>
              <w:left w:val="single" w:color="auto" w:sz="4" w:space="0"/>
              <w:bottom w:val="single" w:color="auto" w:sz="4" w:space="0"/>
              <w:right w:val="single" w:color="auto" w:sz="4" w:space="0"/>
            </w:tcBorders>
            <w:vAlign w:val="center"/>
          </w:tcPr>
          <w:p w14:paraId="682E4E39">
            <w:pPr>
              <w:keepLines/>
              <w:widowControl/>
              <w:adjustRightInd w:val="0"/>
              <w:snapToGrid w:val="0"/>
              <w:spacing w:line="360" w:lineRule="exact"/>
              <w:ind w:firstLine="0" w:firstLineChars="0"/>
              <w:jc w:val="left"/>
              <w:rPr>
                <w:rFonts w:hint="default" w:eastAsia="宋体"/>
                <w:color w:val="000000"/>
                <w:szCs w:val="21"/>
                <w:lang w:val="en-US" w:eastAsia="zh-CN"/>
              </w:rPr>
            </w:pPr>
            <w:r>
              <w:rPr>
                <w:color w:val="000000"/>
                <w:szCs w:val="21"/>
              </w:rPr>
              <w:t>谈判保证金</w:t>
            </w:r>
            <w:r>
              <w:rPr>
                <w:rFonts w:hint="eastAsia"/>
                <w:color w:val="000000"/>
                <w:szCs w:val="21"/>
                <w:lang w:val="en-US" w:eastAsia="zh-CN"/>
              </w:rPr>
              <w:t>的退还</w:t>
            </w:r>
          </w:p>
        </w:tc>
        <w:tc>
          <w:tcPr>
            <w:tcW w:w="5581" w:type="dxa"/>
            <w:tcBorders>
              <w:top w:val="single" w:color="auto" w:sz="4" w:space="0"/>
              <w:left w:val="single" w:color="auto" w:sz="4" w:space="0"/>
              <w:bottom w:val="single" w:color="auto" w:sz="4" w:space="0"/>
              <w:right w:val="single" w:color="auto" w:sz="4" w:space="0"/>
            </w:tcBorders>
          </w:tcPr>
          <w:p w14:paraId="765A92DF">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谈判保证金的退还：非成交供应商项目谈判保证金在成交结果公示结束后5日内退还（若未退还请电话联系采购人，</w:t>
            </w:r>
            <w:r>
              <w:rPr>
                <w:rFonts w:hint="eastAsia" w:eastAsiaTheme="minorEastAsia"/>
                <w:color w:val="000000" w:themeColor="text1"/>
                <w:szCs w:val="21"/>
                <w:lang w:val="en-US" w:eastAsia="zh-CN"/>
                <w14:textFill>
                  <w14:solidFill>
                    <w14:schemeClr w14:val="tx1"/>
                  </w14:solidFill>
                </w14:textFill>
              </w:rPr>
              <w:t>王</w:t>
            </w:r>
            <w:r>
              <w:rPr>
                <w:rFonts w:hint="eastAsia" w:eastAsiaTheme="minorEastAsia"/>
                <w:color w:val="000000" w:themeColor="text1"/>
                <w:szCs w:val="21"/>
                <w14:textFill>
                  <w14:solidFill>
                    <w14:schemeClr w14:val="tx1"/>
                  </w14:solidFill>
                </w14:textFill>
              </w:rPr>
              <w:t>工</w:t>
            </w:r>
            <w:r>
              <w:rPr>
                <w:rFonts w:hint="eastAsia"/>
                <w:color w:val="000000" w:themeColor="text1"/>
                <w:szCs w:val="21"/>
                <w14:textFill>
                  <w14:solidFill>
                    <w14:schemeClr w14:val="tx1"/>
                  </w14:solidFill>
                </w14:textFill>
              </w:rPr>
              <w:t>15961324322</w:t>
            </w:r>
            <w:r>
              <w:rPr>
                <w:rFonts w:hint="eastAsia" w:eastAsiaTheme="minorEastAsia"/>
                <w:color w:val="000000" w:themeColor="text1"/>
                <w:szCs w:val="21"/>
                <w14:textFill>
                  <w14:solidFill>
                    <w14:schemeClr w14:val="tx1"/>
                  </w14:solidFill>
                </w14:textFill>
              </w:rPr>
              <w:t>）；成交供应商项目谈判保证金在确认中标后自动转为履约保证金，待项目内容完成并通过验收后退还（若项目未设置验收条款，待项目内容完成后退还，若未退还请电话联系项目负责人，</w:t>
            </w:r>
            <w:r>
              <w:rPr>
                <w:rFonts w:hint="eastAsia" w:eastAsiaTheme="minorEastAsia"/>
                <w:color w:val="000000" w:themeColor="text1"/>
                <w:szCs w:val="21"/>
                <w:lang w:val="en-US" w:eastAsia="zh-CN"/>
                <w14:textFill>
                  <w14:solidFill>
                    <w14:schemeClr w14:val="tx1"/>
                  </w14:solidFill>
                </w14:textFill>
              </w:rPr>
              <w:t>李</w:t>
            </w:r>
            <w:r>
              <w:rPr>
                <w:rFonts w:hint="eastAsia" w:eastAsiaTheme="minorEastAsia"/>
                <w:color w:val="000000" w:themeColor="text1"/>
                <w:szCs w:val="21"/>
                <w14:textFill>
                  <w14:solidFill>
                    <w14:schemeClr w14:val="tx1"/>
                  </w14:solidFill>
                </w14:textFill>
              </w:rPr>
              <w:t>工</w:t>
            </w:r>
            <w:r>
              <w:rPr>
                <w:rFonts w:hint="eastAsia" w:eastAsiaTheme="minorEastAsia"/>
                <w:color w:val="000000" w:themeColor="text1"/>
                <w:szCs w:val="21"/>
                <w:lang w:val="en-US" w:eastAsia="zh-CN"/>
                <w14:textFill>
                  <w14:solidFill>
                    <w14:schemeClr w14:val="tx1"/>
                  </w14:solidFill>
                </w14:textFill>
              </w:rPr>
              <w:t>18014400246</w:t>
            </w:r>
            <w:r>
              <w:rPr>
                <w:rFonts w:hint="eastAsia" w:eastAsiaTheme="minorEastAsia"/>
                <w:color w:val="000000" w:themeColor="text1"/>
                <w:szCs w:val="21"/>
                <w14:textFill>
                  <w14:solidFill>
                    <w14:schemeClr w14:val="tx1"/>
                  </w14:solidFill>
                </w14:textFill>
              </w:rPr>
              <w:t>）。</w:t>
            </w:r>
          </w:p>
        </w:tc>
      </w:tr>
      <w:tr w14:paraId="4812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3B4DDAB">
            <w:pPr>
              <w:keepLines/>
              <w:widowControl/>
              <w:adjustRightInd w:val="0"/>
              <w:snapToGrid w:val="0"/>
              <w:spacing w:line="360" w:lineRule="exact"/>
              <w:ind w:firstLine="0" w:firstLineChars="0"/>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3.4.</w:t>
            </w:r>
            <w:r>
              <w:rPr>
                <w:rFonts w:hint="eastAsia" w:eastAsiaTheme="minorEastAsia"/>
                <w:color w:val="000000" w:themeColor="text1"/>
                <w:szCs w:val="21"/>
                <w:lang w:val="en-US" w:eastAsia="zh-CN"/>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vAlign w:val="center"/>
          </w:tcPr>
          <w:p w14:paraId="548631E7">
            <w:pPr>
              <w:keepLines/>
              <w:widowControl/>
              <w:adjustRightInd w:val="0"/>
              <w:snapToGrid w:val="0"/>
              <w:spacing w:line="360" w:lineRule="exact"/>
              <w:ind w:firstLine="0" w:firstLineChars="0"/>
              <w:jc w:val="left"/>
              <w:rPr>
                <w:color w:val="000000"/>
                <w:szCs w:val="21"/>
              </w:rPr>
            </w:pPr>
            <w:r>
              <w:rPr>
                <w:color w:val="000000"/>
                <w:szCs w:val="21"/>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472D966B">
            <w:pPr>
              <w:keepLines/>
              <w:widowControl/>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1.供应商在谈判有效期内撤销或修改响应文件的；</w:t>
            </w:r>
          </w:p>
          <w:p w14:paraId="3F73FB45">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2.除因不可抗力或谈判文件认可的情形以外，成交供应商不与采购人签订合同的；</w:t>
            </w:r>
          </w:p>
          <w:p w14:paraId="392EEF7C">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3.成交供应商在签订合同时向采购人提出附加条件的；</w:t>
            </w:r>
          </w:p>
          <w:p w14:paraId="72A490E3">
            <w:pPr>
              <w:keepLines/>
              <w:widowControl/>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4.成交供应商不按照谈判文件要求提交履约保证金的；</w:t>
            </w:r>
          </w:p>
          <w:p w14:paraId="32E63075">
            <w:pPr>
              <w:keepLines/>
              <w:widowControl/>
              <w:spacing w:line="360" w:lineRule="exact"/>
              <w:ind w:firstLine="0" w:firstLineChars="0"/>
              <w:jc w:val="left"/>
              <w:rPr>
                <w:color w:val="000000"/>
                <w:szCs w:val="21"/>
              </w:rPr>
            </w:pPr>
            <w:r>
              <w:rPr>
                <w:rFonts w:eastAsiaTheme="minorEastAsia"/>
                <w:color w:val="000000" w:themeColor="text1"/>
                <w:szCs w:val="21"/>
                <w14:textFill>
                  <w14:solidFill>
                    <w14:schemeClr w14:val="tx1"/>
                  </w14:solidFill>
                </w14:textFill>
              </w:rPr>
              <w:t>5.标中、标后被发现供应商存在恶意串通、出借（挂靠）资质、提供虚假承诺等违法违规行为的。</w:t>
            </w:r>
          </w:p>
        </w:tc>
      </w:tr>
      <w:tr w14:paraId="0ECA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EE6B77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w:t>
            </w:r>
          </w:p>
        </w:tc>
        <w:tc>
          <w:tcPr>
            <w:tcW w:w="2269" w:type="dxa"/>
            <w:tcBorders>
              <w:top w:val="single" w:color="auto" w:sz="4" w:space="0"/>
              <w:left w:val="single" w:color="auto" w:sz="4" w:space="0"/>
              <w:bottom w:val="single" w:color="auto" w:sz="4" w:space="0"/>
              <w:right w:val="single" w:color="auto" w:sz="4" w:space="0"/>
            </w:tcBorders>
            <w:vAlign w:val="center"/>
          </w:tcPr>
          <w:p w14:paraId="5E118BA1">
            <w:pPr>
              <w:keepLines/>
              <w:widowControl/>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响应文件编制</w:t>
            </w:r>
          </w:p>
        </w:tc>
        <w:tc>
          <w:tcPr>
            <w:tcW w:w="5581" w:type="dxa"/>
            <w:tcBorders>
              <w:top w:val="single" w:color="auto" w:sz="4" w:space="0"/>
              <w:left w:val="single" w:color="auto" w:sz="4" w:space="0"/>
              <w:bottom w:val="single" w:color="auto" w:sz="4" w:space="0"/>
              <w:right w:val="single" w:color="auto" w:sz="4" w:space="0"/>
            </w:tcBorders>
          </w:tcPr>
          <w:p w14:paraId="0A8E0502">
            <w:pPr>
              <w:keepLines/>
              <w:widowControl/>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响应文件应按第六章“响应文件格式”进行编写，如有必要可自行增加，作为响应文件的组成部分。</w:t>
            </w:r>
          </w:p>
          <w:p w14:paraId="24973AAA">
            <w:pPr>
              <w:pStyle w:val="18"/>
              <w:ind w:firstLine="0" w:firstLineChars="0"/>
            </w:pPr>
            <w:r>
              <w:rPr>
                <w:color w:val="000000" w:themeColor="text1"/>
                <w:szCs w:val="21"/>
                <w14:textFill>
                  <w14:solidFill>
                    <w14:schemeClr w14:val="tx1"/>
                  </w14:solidFill>
                </w14:textFill>
              </w:rPr>
              <w:t>本项目谈判活动采用远程不见面方式进行，供应商无需提供纸质响应文件。成交结果公示期结束后成交供应商须提供纸质响应文件（包含最终报价）正本壹份，副本贰份。书面响应文件为上传的电子版响应文件打印胶装生成，加盖法人公章，法定代表人 (或授权委托人) 签字或盖章，邮寄地址及联系人详见联系方式。</w:t>
            </w:r>
          </w:p>
        </w:tc>
      </w:tr>
      <w:tr w14:paraId="0BD2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3A10A0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4.1.1</w:t>
            </w:r>
          </w:p>
        </w:tc>
        <w:tc>
          <w:tcPr>
            <w:tcW w:w="2269" w:type="dxa"/>
            <w:tcBorders>
              <w:top w:val="single" w:color="auto" w:sz="4" w:space="0"/>
              <w:left w:val="single" w:color="auto" w:sz="4" w:space="0"/>
              <w:bottom w:val="single" w:color="auto" w:sz="4" w:space="0"/>
              <w:right w:val="single" w:color="auto" w:sz="4" w:space="0"/>
            </w:tcBorders>
            <w:vAlign w:val="center"/>
          </w:tcPr>
          <w:p w14:paraId="1CAD25F6">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响应文件递交截止时间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3BBF80FA">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详见竞争性谈判公告</w:t>
            </w:r>
          </w:p>
        </w:tc>
      </w:tr>
      <w:tr w14:paraId="1A90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554FAAE">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4.1.2</w:t>
            </w:r>
          </w:p>
        </w:tc>
        <w:tc>
          <w:tcPr>
            <w:tcW w:w="2269" w:type="dxa"/>
            <w:tcBorders>
              <w:top w:val="single" w:color="auto" w:sz="4" w:space="0"/>
              <w:left w:val="single" w:color="auto" w:sz="4" w:space="0"/>
              <w:bottom w:val="single" w:color="auto" w:sz="4" w:space="0"/>
              <w:right w:val="single" w:color="auto" w:sz="4" w:space="0"/>
            </w:tcBorders>
            <w:vAlign w:val="center"/>
          </w:tcPr>
          <w:p w14:paraId="420AB6AC">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响应文件递交地点</w:t>
            </w:r>
          </w:p>
        </w:tc>
        <w:tc>
          <w:tcPr>
            <w:tcW w:w="5581" w:type="dxa"/>
            <w:tcBorders>
              <w:top w:val="single" w:color="auto" w:sz="4" w:space="0"/>
              <w:left w:val="single" w:color="auto" w:sz="4" w:space="0"/>
              <w:bottom w:val="single" w:color="auto" w:sz="4" w:space="0"/>
              <w:right w:val="single" w:color="auto" w:sz="4" w:space="0"/>
            </w:tcBorders>
          </w:tcPr>
          <w:p w14:paraId="183111B5">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详见竞争性谈判公告</w:t>
            </w:r>
          </w:p>
        </w:tc>
      </w:tr>
      <w:tr w14:paraId="7AE4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BEE9D2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5.1.1</w:t>
            </w:r>
          </w:p>
        </w:tc>
        <w:tc>
          <w:tcPr>
            <w:tcW w:w="2269" w:type="dxa"/>
            <w:tcBorders>
              <w:top w:val="single" w:color="auto" w:sz="4" w:space="0"/>
              <w:left w:val="single" w:color="auto" w:sz="4" w:space="0"/>
              <w:bottom w:val="single" w:color="auto" w:sz="4" w:space="0"/>
              <w:right w:val="single" w:color="auto" w:sz="4" w:space="0"/>
            </w:tcBorders>
            <w:vAlign w:val="center"/>
          </w:tcPr>
          <w:p w14:paraId="1AA722B6">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谈判时间和地点</w:t>
            </w:r>
          </w:p>
        </w:tc>
        <w:tc>
          <w:tcPr>
            <w:tcW w:w="5581" w:type="dxa"/>
            <w:tcBorders>
              <w:top w:val="single" w:color="auto" w:sz="4" w:space="0"/>
              <w:left w:val="single" w:color="auto" w:sz="4" w:space="0"/>
              <w:bottom w:val="single" w:color="auto" w:sz="4" w:space="0"/>
              <w:right w:val="single" w:color="auto" w:sz="4" w:space="0"/>
            </w:tcBorders>
          </w:tcPr>
          <w:p w14:paraId="5DAC8299">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谈判时间：同响应文件递交截止时间，远程采购项目的时间均以国家授时中心发布的时间为准。</w:t>
            </w:r>
          </w:p>
          <w:p w14:paraId="40813FE0">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谈判地点：谈判当日，供应商不必抵达谈判现场，仅需在任意地点通过“</w:t>
            </w:r>
            <w:r>
              <w:rPr>
                <w:rFonts w:eastAsiaTheme="minorEastAsia"/>
                <w:bCs/>
                <w:color w:val="000000" w:themeColor="text1"/>
                <w:szCs w:val="21"/>
                <w14:textFill>
                  <w14:solidFill>
                    <w14:schemeClr w14:val="tx1"/>
                  </w14:solidFill>
                </w14:textFill>
              </w:rPr>
              <w:t>方洋集团物资采购平台</w:t>
            </w:r>
            <w:r>
              <w:rPr>
                <w:rFonts w:eastAsiaTheme="minorEastAsia"/>
                <w:color w:val="000000" w:themeColor="text1"/>
                <w:szCs w:val="21"/>
                <w14:textFill>
                  <w14:solidFill>
                    <w14:schemeClr w14:val="tx1"/>
                  </w14:solidFill>
                </w14:textFill>
              </w:rPr>
              <w:t>”远程参加谈判活动。</w:t>
            </w:r>
          </w:p>
        </w:tc>
      </w:tr>
      <w:tr w14:paraId="763B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C8CB93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5.1.2</w:t>
            </w:r>
          </w:p>
        </w:tc>
        <w:tc>
          <w:tcPr>
            <w:tcW w:w="2269" w:type="dxa"/>
            <w:tcBorders>
              <w:top w:val="single" w:color="auto" w:sz="4" w:space="0"/>
              <w:left w:val="single" w:color="auto" w:sz="4" w:space="0"/>
              <w:bottom w:val="single" w:color="auto" w:sz="4" w:space="0"/>
              <w:right w:val="single" w:color="auto" w:sz="4" w:space="0"/>
            </w:tcBorders>
            <w:vAlign w:val="center"/>
          </w:tcPr>
          <w:p w14:paraId="2D74BC97">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供应商参会代表</w:t>
            </w:r>
          </w:p>
        </w:tc>
        <w:tc>
          <w:tcPr>
            <w:tcW w:w="5581" w:type="dxa"/>
            <w:tcBorders>
              <w:top w:val="single" w:color="auto" w:sz="4" w:space="0"/>
              <w:left w:val="single" w:color="auto" w:sz="4" w:space="0"/>
              <w:bottom w:val="single" w:color="auto" w:sz="4" w:space="0"/>
              <w:right w:val="single" w:color="auto" w:sz="4" w:space="0"/>
            </w:tcBorders>
          </w:tcPr>
          <w:p w14:paraId="28F2FD54">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参加远程谈判会议的供应商代表须为供应商响应函明确的授权委托人。供应商参与交互的人员将一直被视为是供应商的授权委托人，供应商自行承担弄虚作假、随意更换人员所导致的一切后果。</w:t>
            </w:r>
          </w:p>
          <w:p w14:paraId="76E4F1B9">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注：谈判当日，供应商授权委托人不必抵达谈判现场，应当在谈判文件确定的响应文件递交截止时间前,在线准时参加谈判活动。</w:t>
            </w:r>
          </w:p>
        </w:tc>
      </w:tr>
      <w:tr w14:paraId="19C0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C2D55B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2CBA9C3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远程不见面交易模式</w:t>
            </w:r>
          </w:p>
        </w:tc>
        <w:tc>
          <w:tcPr>
            <w:tcW w:w="5581" w:type="dxa"/>
            <w:tcBorders>
              <w:top w:val="single" w:color="auto" w:sz="4" w:space="0"/>
              <w:left w:val="single" w:color="auto" w:sz="4" w:space="0"/>
              <w:bottom w:val="single" w:color="auto" w:sz="4" w:space="0"/>
              <w:right w:val="single" w:color="auto" w:sz="4" w:space="0"/>
            </w:tcBorders>
          </w:tcPr>
          <w:p w14:paraId="4959CF14">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1、本工程采用远程不见面交易模式，签章响应文件扫描件请在响应文件递交截止时间前上传至方洋集团物资采购平台。</w:t>
            </w:r>
          </w:p>
          <w:p w14:paraId="346FB75A">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2、本项目原则上采取</w:t>
            </w:r>
            <w:r>
              <w:rPr>
                <w:rFonts w:hint="eastAsia" w:eastAsiaTheme="minorEastAsia"/>
                <w:b/>
                <w:bCs/>
                <w:color w:val="000000" w:themeColor="text1"/>
                <w:szCs w:val="21"/>
                <w14:textFill>
                  <w14:solidFill>
                    <w14:schemeClr w14:val="tx1"/>
                  </w14:solidFill>
                </w14:textFill>
              </w:rPr>
              <w:t>两</w:t>
            </w:r>
            <w:r>
              <w:rPr>
                <w:rFonts w:eastAsiaTheme="minorEastAsia"/>
                <w:b/>
                <w:bCs/>
                <w:color w:val="000000" w:themeColor="text1"/>
                <w:szCs w:val="21"/>
                <w14:textFill>
                  <w14:solidFill>
                    <w14:schemeClr w14:val="tx1"/>
                  </w14:solidFill>
                </w14:textFill>
              </w:rPr>
              <w:t>轮</w:t>
            </w:r>
            <w:r>
              <w:rPr>
                <w:rFonts w:eastAsiaTheme="minorEastAsia"/>
                <w:color w:val="000000" w:themeColor="text1"/>
                <w:szCs w:val="21"/>
                <w14:textFill>
                  <w14:solidFill>
                    <w14:schemeClr w14:val="tx1"/>
                  </w14:solidFill>
                </w14:textFill>
              </w:rPr>
              <w:t>报价，评审小组可根据报价情况临时增加一轮谈判，如达不到预期要求，可继续邀请供应商进行报价。响应文件中已有的报价为第一轮报价，从第二轮报价开始，每轮报价前，采购人公布前一轮有效响应文件最低报价。供应商应保持电话畅通，如谈判现场因供应商原因无法联系供应商联系人，视为供应商放弃后续轮次报价。</w:t>
            </w:r>
          </w:p>
          <w:p w14:paraId="4F2862D3">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3、对于一次公告有效标不足3家供应商递交响应文件，经评审认定的具备竞争性的，可优先组织已递交响应文件的供应商进行竞争性谈判，经谈判小组评审后推荐成交供应商。</w:t>
            </w:r>
          </w:p>
        </w:tc>
      </w:tr>
      <w:tr w14:paraId="6224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21F068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448500A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评审小组的组建</w:t>
            </w:r>
          </w:p>
        </w:tc>
        <w:tc>
          <w:tcPr>
            <w:tcW w:w="5581" w:type="dxa"/>
            <w:tcBorders>
              <w:top w:val="single" w:color="auto" w:sz="4" w:space="0"/>
              <w:left w:val="single" w:color="auto" w:sz="4" w:space="0"/>
              <w:bottom w:val="single" w:color="auto" w:sz="4" w:space="0"/>
              <w:right w:val="single" w:color="auto" w:sz="4" w:space="0"/>
            </w:tcBorders>
            <w:vAlign w:val="center"/>
          </w:tcPr>
          <w:p w14:paraId="565DD389">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评审小组的构成：</w:t>
            </w:r>
            <w:r>
              <w:rPr>
                <w:rFonts w:eastAsiaTheme="minorEastAsia"/>
                <w:color w:val="000000" w:themeColor="text1"/>
                <w:szCs w:val="21"/>
                <w:u w:val="single"/>
                <w14:textFill>
                  <w14:solidFill>
                    <w14:schemeClr w14:val="tx1"/>
                  </w14:solidFill>
                </w14:textFill>
              </w:rPr>
              <w:t xml:space="preserve"> 3人及以上的单数 </w:t>
            </w:r>
            <w:r>
              <w:rPr>
                <w:rFonts w:eastAsiaTheme="minorEastAsia"/>
                <w:color w:val="000000" w:themeColor="text1"/>
                <w:szCs w:val="21"/>
                <w14:textFill>
                  <w14:solidFill>
                    <w14:schemeClr w14:val="tx1"/>
                  </w14:solidFill>
                </w14:textFill>
              </w:rPr>
              <w:t>。</w:t>
            </w:r>
          </w:p>
          <w:p w14:paraId="198E3BAA">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评标专家确定方式：</w:t>
            </w:r>
            <w:r>
              <w:rPr>
                <w:rFonts w:eastAsiaTheme="minorEastAsia"/>
                <w:color w:val="000000" w:themeColor="text1"/>
                <w:szCs w:val="21"/>
                <w:u w:val="single"/>
                <w14:textFill>
                  <w14:solidFill>
                    <w14:schemeClr w14:val="tx1"/>
                  </w14:solidFill>
                </w14:textFill>
              </w:rPr>
              <w:t>专家库中随机抽取</w:t>
            </w:r>
            <w:r>
              <w:rPr>
                <w:rFonts w:eastAsiaTheme="minorEastAsia"/>
                <w:color w:val="000000" w:themeColor="text1"/>
                <w:szCs w:val="21"/>
                <w14:textFill>
                  <w14:solidFill>
                    <w14:schemeClr w14:val="tx1"/>
                  </w14:solidFill>
                </w14:textFill>
              </w:rPr>
              <w:t>。</w:t>
            </w:r>
          </w:p>
        </w:tc>
      </w:tr>
      <w:tr w14:paraId="3F81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3201D21">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5.6</w:t>
            </w:r>
          </w:p>
        </w:tc>
        <w:tc>
          <w:tcPr>
            <w:tcW w:w="2269" w:type="dxa"/>
            <w:tcBorders>
              <w:top w:val="single" w:color="auto" w:sz="4" w:space="0"/>
              <w:left w:val="single" w:color="auto" w:sz="4" w:space="0"/>
              <w:bottom w:val="single" w:color="auto" w:sz="4" w:space="0"/>
              <w:right w:val="single" w:color="auto" w:sz="4" w:space="0"/>
            </w:tcBorders>
            <w:vAlign w:val="center"/>
          </w:tcPr>
          <w:p w14:paraId="639B2CA3">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评审入围条件、评审方法及推荐的成交供应商候选人数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51784EC7">
            <w:pPr>
              <w:keepLines/>
              <w:widowControl/>
              <w:adjustRightInd w:val="0"/>
              <w:snapToGrid w:val="0"/>
              <w:spacing w:line="360" w:lineRule="exact"/>
              <w:ind w:firstLine="0" w:firstLineChars="0"/>
              <w:jc w:val="left"/>
              <w:rPr>
                <w:b/>
                <w:bCs/>
                <w:szCs w:val="21"/>
              </w:rPr>
            </w:pPr>
            <w:r>
              <w:rPr>
                <w:rFonts w:eastAsiaTheme="minorEastAsia"/>
                <w:b/>
                <w:bCs/>
                <w:szCs w:val="21"/>
              </w:rPr>
              <w:t>评审</w:t>
            </w:r>
            <w:r>
              <w:rPr>
                <w:b/>
                <w:bCs/>
                <w:szCs w:val="21"/>
              </w:rPr>
              <w:t>入围条件：供应商响应文件响应函中载明的报价高于采购人期望值的（采购人期望值=采购控制价*</w:t>
            </w:r>
            <w:r>
              <w:rPr>
                <w:rFonts w:hint="eastAsia"/>
                <w:b/>
                <w:bCs/>
                <w:szCs w:val="21"/>
              </w:rPr>
              <w:t>100</w:t>
            </w:r>
            <w:r>
              <w:rPr>
                <w:b/>
                <w:bCs/>
                <w:szCs w:val="21"/>
              </w:rPr>
              <w:t>%），不再进行后续评审。</w:t>
            </w:r>
          </w:p>
          <w:p w14:paraId="5F1EFD87">
            <w:pPr>
              <w:keepLines/>
              <w:widowControl/>
              <w:adjustRightInd w:val="0"/>
              <w:snapToGrid w:val="0"/>
              <w:spacing w:line="360" w:lineRule="exact"/>
              <w:ind w:firstLine="0" w:firstLineChars="0"/>
              <w:jc w:val="left"/>
              <w:rPr>
                <w:szCs w:val="21"/>
              </w:rPr>
            </w:pPr>
            <w:r>
              <w:rPr>
                <w:rFonts w:eastAsiaTheme="minorEastAsia"/>
                <w:color w:val="000000" w:themeColor="text1"/>
                <w:szCs w:val="21"/>
                <w14:textFill>
                  <w14:solidFill>
                    <w14:schemeClr w14:val="tx1"/>
                  </w14:solidFill>
                </w14:textFill>
              </w:rPr>
              <w:t>评审方法：</w:t>
            </w:r>
            <w:r>
              <w:rPr>
                <w:szCs w:val="21"/>
              </w:rPr>
              <w:t>经评审的最低价法，谈判评审小组对满足谈判文件实质要求的响应文件进行评审，按最终报价由低到高的顺序推荐成交候选人。</w:t>
            </w:r>
          </w:p>
          <w:p w14:paraId="56AA25AF">
            <w:pPr>
              <w:keepLines/>
              <w:widowControl/>
              <w:adjustRightInd w:val="0"/>
              <w:snapToGrid w:val="0"/>
              <w:spacing w:line="360" w:lineRule="exact"/>
              <w:ind w:firstLine="0" w:firstLineChars="0"/>
              <w:jc w:val="left"/>
              <w:rPr>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推荐的成交供应商候选人数：1-3名</w:t>
            </w:r>
          </w:p>
        </w:tc>
      </w:tr>
      <w:tr w14:paraId="647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4A5BAD">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8.5.3</w:t>
            </w:r>
          </w:p>
        </w:tc>
        <w:tc>
          <w:tcPr>
            <w:tcW w:w="2269" w:type="dxa"/>
            <w:tcBorders>
              <w:top w:val="single" w:color="auto" w:sz="4" w:space="0"/>
              <w:left w:val="single" w:color="auto" w:sz="4" w:space="0"/>
              <w:bottom w:val="single" w:color="auto" w:sz="4" w:space="0"/>
              <w:right w:val="single" w:color="auto" w:sz="4" w:space="0"/>
            </w:tcBorders>
            <w:vAlign w:val="center"/>
          </w:tcPr>
          <w:p w14:paraId="2072E4C5">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投诉受理部门</w:t>
            </w:r>
          </w:p>
        </w:tc>
        <w:tc>
          <w:tcPr>
            <w:tcW w:w="5581" w:type="dxa"/>
            <w:tcBorders>
              <w:top w:val="single" w:color="auto" w:sz="4" w:space="0"/>
              <w:left w:val="single" w:color="auto" w:sz="4" w:space="0"/>
              <w:bottom w:val="single" w:color="auto" w:sz="4" w:space="0"/>
              <w:right w:val="single" w:color="auto" w:sz="4" w:space="0"/>
            </w:tcBorders>
          </w:tcPr>
          <w:p w14:paraId="713FF02E">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投诉受理部门：</w:t>
            </w:r>
            <w:r>
              <w:rPr>
                <w:color w:val="000000"/>
                <w:szCs w:val="21"/>
              </w:rPr>
              <w:t>监察审计部门</w:t>
            </w:r>
          </w:p>
          <w:p w14:paraId="085BC054">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联系电话：</w:t>
            </w:r>
            <w:r>
              <w:rPr>
                <w:rFonts w:hint="eastAsia" w:eastAsiaTheme="minorEastAsia"/>
                <w:color w:val="000000" w:themeColor="text1"/>
                <w:szCs w:val="21"/>
                <w:u w:val="single"/>
                <w14:textFill>
                  <w14:solidFill>
                    <w14:schemeClr w14:val="tx1"/>
                  </w14:solidFill>
                </w14:textFill>
              </w:rPr>
              <w:t xml:space="preserve"> 19105265509 </w:t>
            </w:r>
          </w:p>
        </w:tc>
      </w:tr>
      <w:tr w14:paraId="2C08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3C2CB15">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bookmarkStart w:id="13" w:name="_Toc443200825"/>
            <w:bookmarkStart w:id="14" w:name="_Toc144974510"/>
            <w:bookmarkStart w:id="15" w:name="_Toc247513966"/>
            <w:bookmarkStart w:id="16" w:name="_Toc247527567"/>
            <w:bookmarkStart w:id="17" w:name="_Toc152045542"/>
            <w:bookmarkStart w:id="18" w:name="_Toc152042318"/>
            <w:r>
              <w:rPr>
                <w:rFonts w:eastAsiaTheme="minorEastAsia"/>
                <w:color w:val="000000" w:themeColor="text1"/>
                <w:szCs w:val="21"/>
                <w14:textFill>
                  <w14:solidFill>
                    <w14:schemeClr w14:val="tx1"/>
                  </w14:solidFill>
                </w14:textFill>
              </w:rPr>
              <w:t>10. 1</w:t>
            </w:r>
          </w:p>
        </w:tc>
        <w:tc>
          <w:tcPr>
            <w:tcW w:w="2269" w:type="dxa"/>
            <w:tcBorders>
              <w:top w:val="single" w:color="auto" w:sz="4" w:space="0"/>
              <w:left w:val="single" w:color="auto" w:sz="4" w:space="0"/>
              <w:bottom w:val="single" w:color="auto" w:sz="4" w:space="0"/>
              <w:right w:val="single" w:color="auto" w:sz="4" w:space="0"/>
            </w:tcBorders>
            <w:vAlign w:val="center"/>
          </w:tcPr>
          <w:p w14:paraId="33709301">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需要补充的其他内容</w:t>
            </w:r>
          </w:p>
        </w:tc>
        <w:tc>
          <w:tcPr>
            <w:tcW w:w="5581" w:type="dxa"/>
            <w:tcBorders>
              <w:top w:val="single" w:color="auto" w:sz="4" w:space="0"/>
              <w:left w:val="single" w:color="auto" w:sz="4" w:space="0"/>
              <w:bottom w:val="single" w:color="auto" w:sz="4" w:space="0"/>
              <w:right w:val="single" w:color="auto" w:sz="4" w:space="0"/>
            </w:tcBorders>
          </w:tcPr>
          <w:p w14:paraId="6812F4A6">
            <w:pPr>
              <w:keepLines/>
              <w:widowControl/>
              <w:adjustRightInd w:val="0"/>
              <w:snapToGrid w:val="0"/>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1、本项目标书费0元，参与本项目报价需向平台运营方缴纳平台使用费200元。</w:t>
            </w:r>
          </w:p>
          <w:p w14:paraId="402BD438">
            <w:pPr>
              <w:keepLines/>
              <w:widowControl/>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2、合同期内，合同工程量及总价仅作为暂定量，在不改变合同其他条款的前提下，乙方应根据甲方实际下单数量进行供货，最终结算金额按实际下单工程量乘以下单单价计算（即订单金额，单价保留2位小数，四舍五入）。各型号累计下单数量及累计订单金额不受合同暂定工程量及合同总价限制。</w:t>
            </w:r>
          </w:p>
        </w:tc>
      </w:tr>
    </w:tbl>
    <w:p w14:paraId="01FFA70F">
      <w:pPr>
        <w:widowControl/>
        <w:ind w:firstLine="480"/>
        <w:jc w:val="left"/>
        <w:rPr>
          <w:rFonts w:eastAsiaTheme="minorEastAsia"/>
          <w:b/>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br w:type="page"/>
      </w:r>
    </w:p>
    <w:bookmarkEnd w:id="13"/>
    <w:bookmarkEnd w:id="14"/>
    <w:bookmarkEnd w:id="15"/>
    <w:bookmarkEnd w:id="16"/>
    <w:bookmarkEnd w:id="17"/>
    <w:bookmarkEnd w:id="18"/>
    <w:p w14:paraId="2828730F">
      <w:pPr>
        <w:pStyle w:val="3"/>
        <w:rPr>
          <w:sz w:val="24"/>
          <w:szCs w:val="24"/>
        </w:rPr>
      </w:pPr>
      <w:bookmarkStart w:id="19" w:name="_Toc11766"/>
      <w:bookmarkStart w:id="20" w:name="_Toc29824"/>
      <w:bookmarkStart w:id="21" w:name="_Toc12025629"/>
      <w:r>
        <w:t>供应商须知</w:t>
      </w:r>
      <w:bookmarkEnd w:id="19"/>
      <w:bookmarkEnd w:id="20"/>
    </w:p>
    <w:p w14:paraId="3108C4BA">
      <w:pPr>
        <w:pStyle w:val="3"/>
      </w:pPr>
      <w:bookmarkStart w:id="22" w:name="_Toc3778"/>
      <w:bookmarkStart w:id="23" w:name="_Toc20398"/>
      <w:r>
        <w:t>一、总则</w:t>
      </w:r>
      <w:bookmarkEnd w:id="22"/>
      <w:bookmarkEnd w:id="23"/>
    </w:p>
    <w:p w14:paraId="5BFC0123">
      <w:pPr>
        <w:spacing w:line="360" w:lineRule="exact"/>
        <w:ind w:firstLine="0" w:firstLineChars="0"/>
        <w:rPr>
          <w:rFonts w:eastAsiaTheme="minorEastAsia"/>
          <w:b/>
          <w:color w:val="000000" w:themeColor="text1"/>
          <w:szCs w:val="21"/>
          <w14:textFill>
            <w14:solidFill>
              <w14:schemeClr w14:val="tx1"/>
            </w14:solidFill>
          </w14:textFill>
        </w:rPr>
      </w:pPr>
      <w:bookmarkStart w:id="24" w:name="_Toc512009286"/>
      <w:bookmarkStart w:id="25" w:name="_Toc511655698"/>
      <w:bookmarkStart w:id="26" w:name="_Toc520410573"/>
      <w:bookmarkStart w:id="27" w:name="_Toc389065146"/>
      <w:r>
        <w:rPr>
          <w:rFonts w:eastAsiaTheme="minorEastAsia"/>
          <w:b/>
          <w:color w:val="000000" w:themeColor="text1"/>
          <w:szCs w:val="21"/>
          <w14:textFill>
            <w14:solidFill>
              <w14:schemeClr w14:val="tx1"/>
            </w14:solidFill>
          </w14:textFill>
        </w:rPr>
        <w:t>1.1 项目概况</w:t>
      </w:r>
      <w:bookmarkEnd w:id="24"/>
      <w:bookmarkEnd w:id="25"/>
    </w:p>
    <w:p w14:paraId="39BC22EC">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1.1.1本项目采购人：见“供应商须知前附表”。</w:t>
      </w:r>
    </w:p>
    <w:p w14:paraId="63F98D1C">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1.1.2 本项目采购代理机构：见“供应商须知前附表”。</w:t>
      </w:r>
    </w:p>
    <w:p w14:paraId="60C7D8EA">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1.1.3 本项目名称：见“供应商须知前附表”。</w:t>
      </w:r>
    </w:p>
    <w:p w14:paraId="2BB13847">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1.1.4 本项目建设地点：见“供应商须知前附表”。</w:t>
      </w:r>
    </w:p>
    <w:p w14:paraId="3F99F062">
      <w:pPr>
        <w:spacing w:line="360" w:lineRule="exact"/>
        <w:ind w:firstLine="0" w:firstLineChars="0"/>
        <w:rPr>
          <w:rFonts w:eastAsiaTheme="minorEastAsia"/>
          <w:b/>
          <w:color w:val="000000" w:themeColor="text1"/>
          <w:szCs w:val="21"/>
          <w14:textFill>
            <w14:solidFill>
              <w14:schemeClr w14:val="tx1"/>
            </w14:solidFill>
          </w14:textFill>
        </w:rPr>
      </w:pPr>
      <w:bookmarkStart w:id="28" w:name="_Toc512009287"/>
      <w:bookmarkStart w:id="29" w:name="_Toc511655699"/>
      <w:bookmarkStart w:id="30" w:name="_Toc389065147"/>
      <w:r>
        <w:rPr>
          <w:rFonts w:eastAsiaTheme="minorEastAsia"/>
          <w:b/>
          <w:color w:val="000000" w:themeColor="text1"/>
          <w:szCs w:val="21"/>
          <w14:textFill>
            <w14:solidFill>
              <w14:schemeClr w14:val="tx1"/>
            </w14:solidFill>
          </w14:textFill>
        </w:rPr>
        <w:t>1.2 资金来源和落实情况</w:t>
      </w:r>
      <w:bookmarkEnd w:id="28"/>
      <w:bookmarkEnd w:id="29"/>
      <w:bookmarkEnd w:id="30"/>
    </w:p>
    <w:p w14:paraId="57121643">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1.2.1 本项目的资金来源：见“供应商须知前附表”。</w:t>
      </w:r>
    </w:p>
    <w:p w14:paraId="6AEF200A">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1.2.2 本项目的出资比例：见“供应商须知前附表”。</w:t>
      </w:r>
    </w:p>
    <w:p w14:paraId="00C3D2CD">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1.2.3 本项目的资金落实情况：见“供应商须知前附表”；</w:t>
      </w:r>
    </w:p>
    <w:p w14:paraId="01C89E71">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1.2.4 本项目的工程款支付方式：见“供应商须知前附表”。</w:t>
      </w:r>
    </w:p>
    <w:p w14:paraId="16E2A740">
      <w:pPr>
        <w:spacing w:line="360" w:lineRule="exact"/>
        <w:ind w:firstLine="0" w:firstLineChars="0"/>
        <w:rPr>
          <w:rFonts w:eastAsiaTheme="minorEastAsia"/>
          <w:b/>
          <w:color w:val="000000" w:themeColor="text1"/>
          <w:szCs w:val="21"/>
          <w14:textFill>
            <w14:solidFill>
              <w14:schemeClr w14:val="tx1"/>
            </w14:solidFill>
          </w14:textFill>
        </w:rPr>
      </w:pPr>
      <w:bookmarkStart w:id="31" w:name="_Toc512009288"/>
      <w:bookmarkStart w:id="32" w:name="_Toc511655700"/>
      <w:r>
        <w:rPr>
          <w:rFonts w:eastAsiaTheme="minorEastAsia"/>
          <w:b/>
          <w:color w:val="000000" w:themeColor="text1"/>
          <w:szCs w:val="21"/>
          <w14:textFill>
            <w14:solidFill>
              <w14:schemeClr w14:val="tx1"/>
            </w14:solidFill>
          </w14:textFill>
        </w:rPr>
        <w:t>1.3 采购范围、计划工期和质量要求</w:t>
      </w:r>
      <w:bookmarkEnd w:id="31"/>
      <w:bookmarkEnd w:id="32"/>
    </w:p>
    <w:p w14:paraId="3B01FFF4">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1.3.1 本项目采购范围：见“供应商须知前附表”。</w:t>
      </w:r>
    </w:p>
    <w:p w14:paraId="1B8CCAA0">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1.3.2 本项目工期要求：见“供应商须知前附表”。</w:t>
      </w:r>
    </w:p>
    <w:p w14:paraId="2549A6B0">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1.3.3 本项目质量要求：见“供应商须知前附表”。</w:t>
      </w:r>
    </w:p>
    <w:p w14:paraId="5515D538">
      <w:pPr>
        <w:spacing w:line="360" w:lineRule="exact"/>
        <w:ind w:firstLine="0" w:firstLineChars="0"/>
        <w:rPr>
          <w:rFonts w:eastAsiaTheme="minorEastAsia"/>
          <w:b/>
          <w:color w:val="000000" w:themeColor="text1"/>
          <w:szCs w:val="21"/>
          <w14:textFill>
            <w14:solidFill>
              <w14:schemeClr w14:val="tx1"/>
            </w14:solidFill>
          </w14:textFill>
        </w:rPr>
      </w:pPr>
      <w:bookmarkStart w:id="33" w:name="_Toc511655701"/>
      <w:bookmarkStart w:id="34" w:name="_Toc512009289"/>
      <w:r>
        <w:rPr>
          <w:rFonts w:eastAsiaTheme="minorEastAsia"/>
          <w:b/>
          <w:color w:val="000000" w:themeColor="text1"/>
          <w:szCs w:val="21"/>
          <w14:textFill>
            <w14:solidFill>
              <w14:schemeClr w14:val="tx1"/>
            </w14:solidFill>
          </w14:textFill>
        </w:rPr>
        <w:t>1.4 供应商资格要求</w:t>
      </w:r>
      <w:bookmarkEnd w:id="33"/>
      <w:bookmarkEnd w:id="34"/>
    </w:p>
    <w:p w14:paraId="77106086">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1.4.1 供应商应具备承担本项目施工的资格要求，见谈判公告。</w:t>
      </w:r>
    </w:p>
    <w:p w14:paraId="67316059">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1.4.2 “供应商须知前附表”规定接受联合体参与谈判的，除应符合本章第1.4.1项和“供应商须知前附表”的要求外，还应遵守以下规定：</w:t>
      </w:r>
    </w:p>
    <w:p w14:paraId="45291867">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（1）联合体各方应按谈判文件提供的格式签订联合体协议书，明确联合体牵头人和各方权利义务；</w:t>
      </w:r>
    </w:p>
    <w:p w14:paraId="017583FA">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（2）联合体各成员单位应当具备与联合体协议中约定的分工相适应的资质和能力；</w:t>
      </w:r>
    </w:p>
    <w:p w14:paraId="4D91FB1E">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（3）联合体各方不得再以自己名义单独或参加其他联合体参与同一采购项目谈判活动；</w:t>
      </w:r>
    </w:p>
    <w:p w14:paraId="0786F298">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（4）联合体各方必须指定牵头人，授权其代表所有联合体成员负责参与谈判和合同实施阶段的主办、协调工作，并应当向采购人提交由所有联合体成员法定代表人签署的授权书；</w:t>
      </w:r>
    </w:p>
    <w:p w14:paraId="06DACCA1">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（5）采购人要求供应商提交谈判保证担保的，应当以联合体各方或者联合体中牵头人的名义提交谈判保证担保。以联合体中牵头人名义提交的谈判保证担保，对联合体各成员具有约束力。</w:t>
      </w:r>
    </w:p>
    <w:p w14:paraId="5681D9CD">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1.4.3 供应商不得存在下列情形之一：</w:t>
      </w:r>
    </w:p>
    <w:bookmarkEnd w:id="26"/>
    <w:bookmarkEnd w:id="27"/>
    <w:p w14:paraId="654E129C">
      <w:pPr>
        <w:spacing w:line="360" w:lineRule="exact"/>
        <w:ind w:firstLine="420"/>
        <w:rPr>
          <w:color w:val="000000"/>
          <w:szCs w:val="21"/>
        </w:rPr>
      </w:pPr>
      <w:bookmarkStart w:id="35" w:name="_Toc389065150"/>
      <w:bookmarkStart w:id="36" w:name="_Toc520410576"/>
      <w:r>
        <w:rPr>
          <w:color w:val="000000"/>
          <w:szCs w:val="21"/>
        </w:rPr>
        <w:t>（1）为采购人不具有独立法人资格的附属机构（单位）；</w:t>
      </w:r>
    </w:p>
    <w:p w14:paraId="790749D6">
      <w:pPr>
        <w:spacing w:line="360" w:lineRule="exact"/>
        <w:ind w:firstLine="420"/>
        <w:rPr>
          <w:color w:val="000000"/>
          <w:szCs w:val="21"/>
        </w:rPr>
      </w:pPr>
      <w:r>
        <w:rPr>
          <w:color w:val="000000"/>
          <w:szCs w:val="21"/>
        </w:rPr>
        <w:t>（2）为本项目的监理人、代建人、项目管理人，以及为本项目提供采购代理、设计服务的；</w:t>
      </w:r>
    </w:p>
    <w:p w14:paraId="3CF3CBB1">
      <w:pPr>
        <w:spacing w:line="360" w:lineRule="exact"/>
        <w:ind w:firstLine="420"/>
        <w:rPr>
          <w:color w:val="000000"/>
          <w:szCs w:val="21"/>
        </w:rPr>
      </w:pPr>
      <w:r>
        <w:rPr>
          <w:color w:val="000000"/>
          <w:szCs w:val="21"/>
        </w:rPr>
        <w:t>（3）与本项目的监理人、代建人、采购代理机构同为一个法定代表人的，或者相互控股、参股的；</w:t>
      </w:r>
    </w:p>
    <w:p w14:paraId="2B446A74">
      <w:pPr>
        <w:spacing w:line="360" w:lineRule="exact"/>
        <w:ind w:firstLine="420"/>
        <w:rPr>
          <w:color w:val="000000"/>
          <w:szCs w:val="21"/>
        </w:rPr>
      </w:pPr>
      <w:r>
        <w:rPr>
          <w:color w:val="000000"/>
          <w:szCs w:val="21"/>
        </w:rPr>
        <w:t>（4）与采购人存在利害关系可能影响采购公正性的；</w:t>
      </w:r>
    </w:p>
    <w:p w14:paraId="5F0243F9">
      <w:pPr>
        <w:spacing w:line="360" w:lineRule="exact"/>
        <w:ind w:firstLine="420"/>
        <w:rPr>
          <w:color w:val="000000"/>
          <w:szCs w:val="21"/>
        </w:rPr>
      </w:pPr>
      <w:r>
        <w:rPr>
          <w:color w:val="000000"/>
          <w:szCs w:val="21"/>
        </w:rPr>
        <w:t>（5）单位负责人为同一人或者存在控股、管理关系的；</w:t>
      </w:r>
    </w:p>
    <w:p w14:paraId="3F498AC2">
      <w:pPr>
        <w:spacing w:line="360" w:lineRule="exact"/>
        <w:ind w:firstLine="420"/>
        <w:rPr>
          <w:color w:val="000000"/>
          <w:szCs w:val="21"/>
        </w:rPr>
      </w:pPr>
      <w:r>
        <w:rPr>
          <w:color w:val="000000"/>
          <w:szCs w:val="21"/>
        </w:rPr>
        <w:t>（6）存在同一人直接关联任职股东或高管（董事长、总经理、董事、监事）的；</w:t>
      </w:r>
    </w:p>
    <w:p w14:paraId="4B6AD540">
      <w:pPr>
        <w:spacing w:line="360" w:lineRule="exact"/>
        <w:ind w:firstLine="420"/>
        <w:rPr>
          <w:color w:val="000000"/>
          <w:szCs w:val="21"/>
        </w:rPr>
      </w:pPr>
      <w:r>
        <w:rPr>
          <w:color w:val="000000"/>
          <w:szCs w:val="21"/>
        </w:rPr>
        <w:t>（7）处于被责令停业、财产被接管、冻结和破产状态，以及投标（供应商）资格被取消或者被暂停且在暂停期内；</w:t>
      </w:r>
    </w:p>
    <w:p w14:paraId="29031515">
      <w:pPr>
        <w:spacing w:line="360" w:lineRule="exact"/>
        <w:ind w:firstLine="420"/>
        <w:rPr>
          <w:color w:val="000000"/>
          <w:szCs w:val="21"/>
        </w:rPr>
      </w:pPr>
      <w:r>
        <w:rPr>
          <w:color w:val="000000"/>
          <w:szCs w:val="21"/>
        </w:rPr>
        <w:t>（8）因拖欠工人工资或者发生质量安全事故被有关部门限制在采购项目所在地承接工程的。</w:t>
      </w:r>
    </w:p>
    <w:p w14:paraId="32CED64E">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1.5费用承担</w:t>
      </w:r>
      <w:bookmarkEnd w:id="35"/>
      <w:bookmarkEnd w:id="36"/>
    </w:p>
    <w:p w14:paraId="269CAF9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供应商应承担其编制响应文件以及递交响应文件过程中所涉及的一切费用，无论谈判结果如何，采购人对上述费用不负任何责任。</w:t>
      </w:r>
    </w:p>
    <w:p w14:paraId="7824EA45">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37" w:name="_Toc389065151"/>
      <w:bookmarkStart w:id="38" w:name="_Toc520410577"/>
      <w:r>
        <w:rPr>
          <w:rFonts w:eastAsiaTheme="minorEastAsia"/>
          <w:b/>
          <w:bCs/>
          <w:color w:val="000000" w:themeColor="text1"/>
          <w:szCs w:val="21"/>
          <w14:textFill>
            <w14:solidFill>
              <w14:schemeClr w14:val="tx1"/>
            </w14:solidFill>
          </w14:textFill>
        </w:rPr>
        <w:t>1.6保密</w:t>
      </w:r>
      <w:bookmarkEnd w:id="37"/>
      <w:bookmarkEnd w:id="38"/>
    </w:p>
    <w:p w14:paraId="14EDB4E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27C4996B">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39" w:name="_Toc520410578"/>
      <w:bookmarkStart w:id="40" w:name="_Toc389065152"/>
      <w:r>
        <w:rPr>
          <w:rFonts w:eastAsiaTheme="minorEastAsia"/>
          <w:b/>
          <w:bCs/>
          <w:color w:val="000000" w:themeColor="text1"/>
          <w:szCs w:val="21"/>
          <w14:textFill>
            <w14:solidFill>
              <w14:schemeClr w14:val="tx1"/>
            </w14:solidFill>
          </w14:textFill>
        </w:rPr>
        <w:t>1.7语言文字</w:t>
      </w:r>
      <w:bookmarkEnd w:id="39"/>
      <w:bookmarkEnd w:id="40"/>
    </w:p>
    <w:p w14:paraId="75037B4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除专用术语外，与谈判有关的语言均使用中文，必要时专用术语应附有中文注释。</w:t>
      </w:r>
    </w:p>
    <w:p w14:paraId="3B7DCE99">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1" w:name="_Toc520410579"/>
      <w:bookmarkStart w:id="42" w:name="_Toc389065153"/>
      <w:r>
        <w:rPr>
          <w:rFonts w:eastAsiaTheme="minorEastAsia"/>
          <w:b/>
          <w:bCs/>
          <w:color w:val="000000" w:themeColor="text1"/>
          <w:szCs w:val="21"/>
          <w14:textFill>
            <w14:solidFill>
              <w14:schemeClr w14:val="tx1"/>
            </w14:solidFill>
          </w14:textFill>
        </w:rPr>
        <w:t>1.8计量单位</w:t>
      </w:r>
      <w:bookmarkEnd w:id="41"/>
      <w:bookmarkEnd w:id="42"/>
    </w:p>
    <w:p w14:paraId="12D7098C">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所有计量均采用中华人民共和国法定计量单位。</w:t>
      </w:r>
    </w:p>
    <w:p w14:paraId="66F3D456">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3" w:name="_Toc520410580"/>
      <w:bookmarkStart w:id="44" w:name="_Toc389065154"/>
      <w:r>
        <w:rPr>
          <w:rFonts w:eastAsiaTheme="minorEastAsia"/>
          <w:b/>
          <w:bCs/>
          <w:color w:val="000000" w:themeColor="text1"/>
          <w:szCs w:val="21"/>
          <w14:textFill>
            <w14:solidFill>
              <w14:schemeClr w14:val="tx1"/>
            </w14:solidFill>
          </w14:textFill>
        </w:rPr>
        <w:t>1.9踏勘现场</w:t>
      </w:r>
      <w:bookmarkEnd w:id="43"/>
      <w:bookmarkEnd w:id="44"/>
    </w:p>
    <w:p w14:paraId="7F54DA4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1.9.1供应商根据需要自行踏勘项目现场。</w:t>
      </w:r>
    </w:p>
    <w:p w14:paraId="2A35042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1.9.2 供应商踏勘现场发生的费用自理。</w:t>
      </w:r>
    </w:p>
    <w:p w14:paraId="7CE085C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1.9.3 供应商自行负责在踏勘现场中所发生的人员伤亡和财产损失。</w:t>
      </w:r>
    </w:p>
    <w:p w14:paraId="7B5442B9">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5" w:name="_Toc520410581"/>
      <w:bookmarkStart w:id="46" w:name="_Toc389065156"/>
      <w:r>
        <w:rPr>
          <w:rFonts w:eastAsiaTheme="minorEastAsia"/>
          <w:b/>
          <w:bCs/>
          <w:color w:val="000000" w:themeColor="text1"/>
          <w:szCs w:val="21"/>
          <w14:textFill>
            <w14:solidFill>
              <w14:schemeClr w14:val="tx1"/>
            </w14:solidFill>
          </w14:textFill>
        </w:rPr>
        <w:t>1.10分包</w:t>
      </w:r>
      <w:bookmarkEnd w:id="45"/>
      <w:bookmarkEnd w:id="46"/>
    </w:p>
    <w:p w14:paraId="4762A71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本项目成交后分包需经采购人书面同意。</w:t>
      </w:r>
    </w:p>
    <w:p w14:paraId="6E2CD776">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7" w:name="_Toc389065198"/>
      <w:bookmarkStart w:id="48" w:name="_Toc520410582"/>
      <w:r>
        <w:rPr>
          <w:rFonts w:eastAsiaTheme="minorEastAsia"/>
          <w:b/>
          <w:bCs/>
          <w:color w:val="000000" w:themeColor="text1"/>
          <w:szCs w:val="21"/>
          <w14:textFill>
            <w14:solidFill>
              <w14:schemeClr w14:val="tx1"/>
            </w14:solidFill>
          </w14:textFill>
        </w:rPr>
        <w:t>1.11知识产权</w:t>
      </w:r>
      <w:bookmarkEnd w:id="47"/>
      <w:bookmarkEnd w:id="48"/>
    </w:p>
    <w:p w14:paraId="7771466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5739C787">
      <w:pPr>
        <w:pStyle w:val="3"/>
      </w:pPr>
      <w:bookmarkStart w:id="49" w:name="_Toc32684"/>
      <w:bookmarkStart w:id="50" w:name="_Toc19741"/>
      <w:bookmarkStart w:id="51" w:name="_Toc520410583"/>
      <w:r>
        <w:t>二、谈判文件</w:t>
      </w:r>
      <w:bookmarkEnd w:id="49"/>
      <w:bookmarkEnd w:id="50"/>
      <w:bookmarkEnd w:id="51"/>
    </w:p>
    <w:p w14:paraId="2E1D198D">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2" w:name="_Toc389065159"/>
      <w:bookmarkStart w:id="53" w:name="_Toc520410584"/>
      <w:r>
        <w:rPr>
          <w:rFonts w:eastAsiaTheme="minorEastAsia"/>
          <w:b/>
          <w:bCs/>
          <w:color w:val="000000" w:themeColor="text1"/>
          <w:szCs w:val="21"/>
          <w14:textFill>
            <w14:solidFill>
              <w14:schemeClr w14:val="tx1"/>
            </w14:solidFill>
          </w14:textFill>
        </w:rPr>
        <w:t>2.1谈判文件的组成</w:t>
      </w:r>
      <w:bookmarkEnd w:id="52"/>
      <w:bookmarkEnd w:id="53"/>
    </w:p>
    <w:p w14:paraId="6CFC4C0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2.1.1本谈判文件包括：</w:t>
      </w:r>
    </w:p>
    <w:p w14:paraId="31426D2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（1）竞争性谈判公告；</w:t>
      </w:r>
    </w:p>
    <w:p w14:paraId="75D9DE2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（2）供应商须知；</w:t>
      </w:r>
    </w:p>
    <w:p w14:paraId="7BBD4DD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（3）评审办法；</w:t>
      </w:r>
    </w:p>
    <w:p w14:paraId="3659EA4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（4）合同条款及格式；</w:t>
      </w:r>
    </w:p>
    <w:p w14:paraId="1BF92328">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（5）技术规格书；</w:t>
      </w:r>
    </w:p>
    <w:p w14:paraId="0B6AF9E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（6）响应文件格式；</w:t>
      </w:r>
    </w:p>
    <w:p w14:paraId="10F142E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（7）“供应商须知前附表”规定的其他材料。</w:t>
      </w:r>
    </w:p>
    <w:p w14:paraId="57AA507B">
      <w:pP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2.1.2根据本章第2.2款和第2.3款对谈判文件所作的澄清、修改，构成谈判文件的组成部分。谈判文件的澄清、修改内容前后相互矛盾时，以发布时间在后的文件为准。</w:t>
      </w:r>
    </w:p>
    <w:p w14:paraId="1EE6DF28">
      <w:pPr>
        <w:spacing w:line="360" w:lineRule="exact"/>
        <w:ind w:firstLine="420"/>
        <w:rPr>
          <w:rFonts w:eastAsiaTheme="minorEastAsia"/>
          <w:color w:val="000000" w:themeColor="text1"/>
          <w:szCs w:val="21"/>
          <w14:textFill>
            <w14:solidFill>
              <w14:schemeClr w14:val="tx1"/>
            </w14:solidFill>
          </w14:textFill>
        </w:rPr>
      </w:pPr>
      <w:r>
        <w:rPr>
          <w:szCs w:val="21"/>
        </w:rPr>
        <w:t>2.1.3 响应文件及报价唯一：只能有一个响应文件及有效报价（谈判文件要求提交备选响应文件的除外）。</w:t>
      </w:r>
    </w:p>
    <w:p w14:paraId="68280C9B">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4" w:name="_Toc389065160"/>
      <w:bookmarkStart w:id="55" w:name="_Toc520410585"/>
      <w:r>
        <w:rPr>
          <w:rFonts w:eastAsiaTheme="minorEastAsia"/>
          <w:b/>
          <w:bCs/>
          <w:color w:val="000000" w:themeColor="text1"/>
          <w:szCs w:val="21"/>
          <w14:textFill>
            <w14:solidFill>
              <w14:schemeClr w14:val="tx1"/>
            </w14:solidFill>
          </w14:textFill>
        </w:rPr>
        <w:t>2.2 谈判文件的澄清</w:t>
      </w:r>
      <w:bookmarkEnd w:id="54"/>
      <w:bookmarkEnd w:id="55"/>
    </w:p>
    <w:p w14:paraId="7D95995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2.2.1供应商应仔细阅读和检查谈判文件的全部内容，供应商如有疑问，应在响应文件递交截止时间2日前向采购人提出,供应商不在澄清期限内提出，采购人有权不予答复。</w:t>
      </w:r>
    </w:p>
    <w:p w14:paraId="18E76832">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2.2.2澄清的内容可能影响响应文件编制的，可根据实际情况适当延迟递交响应文件的截止时间。</w:t>
      </w:r>
    </w:p>
    <w:p w14:paraId="3141302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2.2.3供应商应在递交响应文件的截止时间前随时查看“方洋集团物资采购平台”中有关该谈判文件的澄清答疑内容”。未按照澄清后的谈判文件编制响应文件，由此造成的后果由供应商自行承担。</w:t>
      </w:r>
    </w:p>
    <w:p w14:paraId="47433679">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6" w:name="_Toc389065161"/>
      <w:bookmarkStart w:id="57" w:name="_Toc520410586"/>
      <w:r>
        <w:rPr>
          <w:rFonts w:eastAsiaTheme="minorEastAsia"/>
          <w:b/>
          <w:bCs/>
          <w:color w:val="000000" w:themeColor="text1"/>
          <w:szCs w:val="21"/>
          <w14:textFill>
            <w14:solidFill>
              <w14:schemeClr w14:val="tx1"/>
            </w14:solidFill>
          </w14:textFill>
        </w:rPr>
        <w:t>2.3 谈判文件的修改</w:t>
      </w:r>
      <w:bookmarkEnd w:id="56"/>
      <w:bookmarkEnd w:id="57"/>
    </w:p>
    <w:p w14:paraId="5F3157F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2.3.1谈判文件发布后，采购人确需对谈判文件进行修改的，采购人将发布在“方洋集团物资采购平台”。</w:t>
      </w:r>
    </w:p>
    <w:p w14:paraId="628BCCB7">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2.3.2修改的内容可能影响响应文件编制的，可根据实际情况适当延迟递交响应文件的截止时间。</w:t>
      </w:r>
    </w:p>
    <w:p w14:paraId="4C5F63E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2.3.3修改文件按本章第2.3.1款规定发出之时起，视为供应商已收到该修改文件。供应商未及时查阅谈判文件的修改，或未按照修改后的谈判文件编制响应文件，由此造成的后果由供应商自行承担。</w:t>
      </w:r>
    </w:p>
    <w:p w14:paraId="6CE8E185">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8" w:name="_Toc473034303"/>
      <w:bookmarkStart w:id="59" w:name="_Toc520410587"/>
      <w:r>
        <w:rPr>
          <w:rFonts w:eastAsiaTheme="minorEastAsia"/>
          <w:b/>
          <w:bCs/>
          <w:color w:val="000000" w:themeColor="text1"/>
          <w:szCs w:val="21"/>
          <w14:textFill>
            <w14:solidFill>
              <w14:schemeClr w14:val="tx1"/>
            </w14:solidFill>
          </w14:textFill>
        </w:rPr>
        <w:t xml:space="preserve">2.4 </w:t>
      </w:r>
      <w:bookmarkEnd w:id="58"/>
      <w:bookmarkEnd w:id="59"/>
      <w:r>
        <w:rPr>
          <w:rFonts w:eastAsiaTheme="minorEastAsia"/>
          <w:b/>
          <w:bCs/>
          <w:color w:val="000000" w:themeColor="text1"/>
          <w:szCs w:val="21"/>
          <w14:textFill>
            <w14:solidFill>
              <w14:schemeClr w14:val="tx1"/>
            </w14:solidFill>
          </w14:textFill>
        </w:rPr>
        <w:t>采购控制价</w:t>
      </w:r>
    </w:p>
    <w:p w14:paraId="30269EE7">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2.4.1采购控制价，是采购人根据国家或省级、行业主管部门颁发的有关计价依据和办法，以及采购内容的市场行情，结合采购项目具体情况编制的本次谈判的最高限价。</w:t>
      </w:r>
    </w:p>
    <w:p w14:paraId="4814F72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2.4.2本项目采购控制价见“竞争性谈判公告”。采购人确需对已发布的项目概算金额进行修改的，采购人将发布在“方洋集团物资采购平台”。</w:t>
      </w:r>
    </w:p>
    <w:p w14:paraId="29D0D474">
      <w:pPr>
        <w:pStyle w:val="3"/>
      </w:pPr>
      <w:bookmarkStart w:id="60" w:name="_Toc520410588"/>
      <w:bookmarkStart w:id="61" w:name="_Toc10480"/>
      <w:bookmarkStart w:id="62" w:name="_Toc22621"/>
      <w:bookmarkStart w:id="63" w:name="_Toc389065162"/>
      <w:r>
        <w:t>三、响应文件</w:t>
      </w:r>
      <w:bookmarkEnd w:id="60"/>
      <w:bookmarkEnd w:id="61"/>
      <w:bookmarkEnd w:id="62"/>
      <w:bookmarkEnd w:id="63"/>
    </w:p>
    <w:p w14:paraId="3B2A693C">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4" w:name="_Toc389065163"/>
      <w:bookmarkStart w:id="65" w:name="_Toc520410589"/>
      <w:r>
        <w:rPr>
          <w:rFonts w:eastAsiaTheme="minorEastAsia"/>
          <w:b/>
          <w:bCs/>
          <w:color w:val="000000" w:themeColor="text1"/>
          <w:szCs w:val="21"/>
          <w14:textFill>
            <w14:solidFill>
              <w14:schemeClr w14:val="tx1"/>
            </w14:solidFill>
          </w14:textFill>
        </w:rPr>
        <w:t>3.1 响应文件的组成</w:t>
      </w:r>
      <w:bookmarkEnd w:id="64"/>
      <w:bookmarkEnd w:id="65"/>
    </w:p>
    <w:p w14:paraId="756F3BEB">
      <w:pPr>
        <w:spacing w:line="360" w:lineRule="exact"/>
        <w:ind w:firstLine="420"/>
        <w:jc w:val="lef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3.1.1响应文件组成见“供应商须知前附表”；</w:t>
      </w:r>
    </w:p>
    <w:p w14:paraId="43227298">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3.1.2谈判文件“第六章响应文件格式”有规定格式要求的，供应商应按规定的格式填写并按要求提交相关的证明材料。</w:t>
      </w:r>
    </w:p>
    <w:p w14:paraId="027A01B3">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6" w:name="_Toc520410590"/>
      <w:bookmarkStart w:id="67" w:name="_Toc389065164"/>
      <w:r>
        <w:rPr>
          <w:rFonts w:eastAsiaTheme="minorEastAsia"/>
          <w:b/>
          <w:bCs/>
          <w:color w:val="000000" w:themeColor="text1"/>
          <w:szCs w:val="21"/>
          <w14:textFill>
            <w14:solidFill>
              <w14:schemeClr w14:val="tx1"/>
            </w14:solidFill>
          </w14:textFill>
        </w:rPr>
        <w:t>3.2 谈判报价</w:t>
      </w:r>
      <w:bookmarkEnd w:id="66"/>
      <w:bookmarkEnd w:id="67"/>
    </w:p>
    <w:p w14:paraId="13137234">
      <w:pPr>
        <w:spacing w:line="360" w:lineRule="exact"/>
        <w:ind w:firstLine="420"/>
        <w:jc w:val="left"/>
      </w:pPr>
      <w:r>
        <w:rPr>
          <w:rFonts w:eastAsiaTheme="minorEastAsia"/>
          <w:color w:val="000000" w:themeColor="text1"/>
          <w:szCs w:val="21"/>
          <w14:textFill>
            <w14:solidFill>
              <w14:schemeClr w14:val="tx1"/>
            </w14:solidFill>
          </w14:textFill>
        </w:rPr>
        <w:t>3.2.1本项目采用</w:t>
      </w:r>
      <w:r>
        <w:rPr>
          <w:rFonts w:eastAsiaTheme="minorEastAsia"/>
          <w:b/>
          <w:bCs/>
          <w:color w:val="000000" w:themeColor="text1"/>
          <w:szCs w:val="21"/>
          <w:u w:val="single"/>
          <w14:textFill>
            <w14:solidFill>
              <w14:schemeClr w14:val="tx1"/>
            </w14:solidFill>
          </w14:textFill>
        </w:rPr>
        <w:t xml:space="preserve">  固定</w:t>
      </w:r>
      <w:r>
        <w:rPr>
          <w:rFonts w:eastAsiaTheme="minorEastAsia"/>
          <w:b/>
          <w:bCs/>
          <w:szCs w:val="21"/>
          <w:u w:val="single"/>
        </w:rPr>
        <w:t>单</w:t>
      </w:r>
      <w:r>
        <w:rPr>
          <w:rFonts w:eastAsiaTheme="minorEastAsia"/>
          <w:b/>
          <w:bCs/>
          <w:color w:val="000000" w:themeColor="text1"/>
          <w:szCs w:val="21"/>
          <w:u w:val="single"/>
          <w14:textFill>
            <w14:solidFill>
              <w14:schemeClr w14:val="tx1"/>
            </w14:solidFill>
          </w14:textFill>
        </w:rPr>
        <w:t xml:space="preserve">价  </w:t>
      </w:r>
      <w:r>
        <w:rPr>
          <w:rFonts w:eastAsiaTheme="minorEastAsia"/>
          <w:color w:val="000000" w:themeColor="text1"/>
          <w:szCs w:val="21"/>
          <w14:textFill>
            <w14:solidFill>
              <w14:schemeClr w14:val="tx1"/>
            </w14:solidFill>
          </w14:textFill>
        </w:rPr>
        <w:t>计价，</w:t>
      </w:r>
      <w:r>
        <w:rPr>
          <w:rFonts w:eastAsiaTheme="minorEastAsia"/>
          <w:szCs w:val="21"/>
        </w:rPr>
        <w:t>供应商应充分考虑项目实施期间的市场风险和国家政策性调整风险系数计入报价，并根据本项目和供应商的自身情况，一次性地报出本项目详细地、完整地报价</w:t>
      </w:r>
      <w:r>
        <w:rPr>
          <w:rFonts w:eastAsiaTheme="minorEastAsia"/>
          <w:bCs/>
          <w:szCs w:val="21"/>
        </w:rPr>
        <w:t>，供应商未作相应报价的，将被视为供应商已经在报价中作了相应的考虑，无论出现何种情况，综合单价在经过确定后，结算时将不作调整。</w:t>
      </w:r>
      <w:r>
        <w:rPr>
          <w:rFonts w:eastAsiaTheme="minorEastAsia"/>
          <w:color w:val="000000" w:themeColor="text1"/>
          <w:szCs w:val="21"/>
          <w14:textFill>
            <w14:solidFill>
              <w14:schemeClr w14:val="tx1"/>
            </w14:solidFill>
          </w14:textFill>
        </w:rPr>
        <w:t>本次报价包含</w:t>
      </w:r>
      <w:r>
        <w:rPr>
          <w:rFonts w:eastAsiaTheme="minorEastAsia"/>
          <w:b/>
          <w:color w:val="000000" w:themeColor="text1"/>
          <w:szCs w:val="21"/>
          <w14:textFill>
            <w14:solidFill>
              <w14:schemeClr w14:val="tx1"/>
            </w14:solidFill>
          </w14:textFill>
        </w:rPr>
        <w:t>采购代理服务费、响应文件评审专家费。</w:t>
      </w:r>
    </w:p>
    <w:p w14:paraId="0CDA16F7">
      <w:pPr>
        <w:wordWrap w:val="0"/>
        <w:spacing w:line="360" w:lineRule="exact"/>
        <w:ind w:firstLine="422"/>
        <w:rPr>
          <w:rFonts w:eastAsiaTheme="minorEastAsia"/>
          <w:b/>
          <w:color w:val="000000" w:themeColor="text1"/>
          <w:szCs w:val="21"/>
          <w14:textFill>
            <w14:solidFill>
              <w14:schemeClr w14:val="tx1"/>
            </w14:solidFill>
          </w14:textFill>
        </w:rPr>
      </w:pPr>
      <w:r>
        <w:rPr>
          <w:b/>
          <w:szCs w:val="21"/>
        </w:rPr>
        <w:t>注：本项目采购代理服务费</w:t>
      </w:r>
      <w:r>
        <w:rPr>
          <w:rFonts w:eastAsiaTheme="minorEastAsia"/>
          <w:b/>
          <w:color w:val="000000" w:themeColor="text1"/>
          <w:szCs w:val="21"/>
          <w14:textFill>
            <w14:solidFill>
              <w14:schemeClr w14:val="tx1"/>
            </w14:solidFill>
          </w14:textFill>
        </w:rPr>
        <w:t>、</w:t>
      </w:r>
      <w:r>
        <w:rPr>
          <w:b/>
          <w:szCs w:val="21"/>
        </w:rPr>
        <w:t>响应文件评审专家费等共计</w:t>
      </w:r>
      <w:r>
        <w:rPr>
          <w:b/>
          <w:szCs w:val="21"/>
          <w:u w:val="single"/>
        </w:rPr>
        <w:t xml:space="preserve"> </w:t>
      </w:r>
      <w:r>
        <w:rPr>
          <w:rFonts w:hint="eastAsia"/>
          <w:b/>
          <w:szCs w:val="21"/>
          <w:u w:val="single"/>
          <w:lang w:val="en-US" w:eastAsia="zh-CN"/>
        </w:rPr>
        <w:t>2</w:t>
      </w:r>
      <w:r>
        <w:rPr>
          <w:rFonts w:hint="eastAsia"/>
          <w:b/>
          <w:szCs w:val="21"/>
          <w:u w:val="single"/>
        </w:rPr>
        <w:t>400</w:t>
      </w:r>
      <w:r>
        <w:rPr>
          <w:b/>
          <w:szCs w:val="21"/>
          <w:u w:val="single"/>
        </w:rPr>
        <w:t xml:space="preserve"> </w:t>
      </w:r>
      <w:r>
        <w:rPr>
          <w:b/>
          <w:szCs w:val="21"/>
        </w:rPr>
        <w:t>元，此费用包含在谈判总价中，不单列，供应商成交后5个工作日内、合同签订前至</w:t>
      </w:r>
      <w:r>
        <w:rPr>
          <w:rFonts w:hint="eastAsia"/>
          <w:b/>
          <w:szCs w:val="21"/>
          <w:u w:val="single"/>
        </w:rPr>
        <w:t>中化商务有限公司</w:t>
      </w:r>
      <w:r>
        <w:rPr>
          <w:b/>
          <w:szCs w:val="21"/>
          <w:u w:val="single"/>
        </w:rPr>
        <w:t xml:space="preserve"> </w:t>
      </w:r>
      <w:r>
        <w:rPr>
          <w:b/>
          <w:szCs w:val="21"/>
        </w:rPr>
        <w:t>缴纳此费用，联系人：</w:t>
      </w:r>
      <w:r>
        <w:rPr>
          <w:rFonts w:hint="eastAsia"/>
          <w:b/>
          <w:szCs w:val="21"/>
        </w:rPr>
        <w:t>王工</w:t>
      </w:r>
      <w:r>
        <w:rPr>
          <w:b/>
          <w:szCs w:val="21"/>
        </w:rPr>
        <w:t>，联系电话：</w:t>
      </w:r>
      <w:r>
        <w:rPr>
          <w:rFonts w:hint="eastAsia"/>
          <w:b/>
          <w:szCs w:val="21"/>
        </w:rPr>
        <w:t>15961324322</w:t>
      </w:r>
      <w:r>
        <w:rPr>
          <w:b/>
          <w:szCs w:val="21"/>
        </w:rPr>
        <w:t>。</w:t>
      </w:r>
    </w:p>
    <w:p w14:paraId="1C0C173F">
      <w:pPr>
        <w:spacing w:line="360" w:lineRule="exact"/>
        <w:ind w:firstLine="420"/>
        <w:jc w:val="left"/>
        <w:rPr>
          <w:rFonts w:eastAsiaTheme="minorEastAsia"/>
          <w:color w:val="000000" w:themeColor="text1"/>
          <w:szCs w:val="21"/>
          <w14:textFill>
            <w14:solidFill>
              <w14:schemeClr w14:val="tx1"/>
            </w14:solidFill>
          </w14:textFill>
        </w:rPr>
      </w:pPr>
      <w:bookmarkStart w:id="68" w:name="_Toc520410591"/>
      <w:bookmarkStart w:id="69" w:name="_Toc389065165"/>
      <w:r>
        <w:rPr>
          <w:rFonts w:eastAsiaTheme="minorEastAsia"/>
          <w:color w:val="000000" w:themeColor="text1"/>
          <w:szCs w:val="21"/>
          <w14:textFill>
            <w14:solidFill>
              <w14:schemeClr w14:val="tx1"/>
            </w14:solidFill>
          </w14:textFill>
        </w:rPr>
        <w:t>3.2.2供应商的响应报价应充分考虑第四章“合同条款及格式”所列合同价格风险。</w:t>
      </w:r>
    </w:p>
    <w:p w14:paraId="4B807DA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3.2.3本项目采用</w:t>
      </w:r>
      <w:r>
        <w:rPr>
          <w:rFonts w:eastAsiaTheme="minorEastAsia"/>
          <w:color w:val="000000" w:themeColor="text1"/>
          <w:szCs w:val="21"/>
          <w:u w:val="single"/>
          <w14:textFill>
            <w14:solidFill>
              <w14:schemeClr w14:val="tx1"/>
            </w14:solidFill>
          </w14:textFill>
        </w:rPr>
        <w:t xml:space="preserve"> </w:t>
      </w:r>
      <w:r>
        <w:rPr>
          <w:rFonts w:hint="eastAsia" w:eastAsiaTheme="minorEastAsia"/>
          <w:b/>
          <w:bCs/>
          <w:color w:val="000000" w:themeColor="text1"/>
          <w:szCs w:val="21"/>
          <w:u w:val="single"/>
          <w14:textFill>
            <w14:solidFill>
              <w14:schemeClr w14:val="tx1"/>
            </w14:solidFill>
          </w14:textFill>
        </w:rPr>
        <w:t>2</w:t>
      </w:r>
      <w:r>
        <w:rPr>
          <w:rFonts w:eastAsiaTheme="minorEastAsia"/>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轮报价，谈判评审小组将对评审后满足谈判文件资格要求的供应商进行二次报价，供应商应及时在“方洋集团物资采购平台”填报二次报价，如谈判过程中因供应商原因无法联系，视为供应商放弃二次报价，以初次报价为最终报价。</w:t>
      </w:r>
    </w:p>
    <w:p w14:paraId="5E03E87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谈判评审小组可根据第</w:t>
      </w:r>
      <w:r>
        <w:rPr>
          <w:rFonts w:hint="eastAsia" w:eastAsiaTheme="minorEastAsia"/>
          <w:color w:val="000000" w:themeColor="text1"/>
          <w:szCs w:val="21"/>
          <w14:textFill>
            <w14:solidFill>
              <w14:schemeClr w14:val="tx1"/>
            </w14:solidFill>
          </w14:textFill>
        </w:rPr>
        <w:t>二</w:t>
      </w:r>
      <w:r>
        <w:rPr>
          <w:rFonts w:eastAsiaTheme="minorEastAsia"/>
          <w:color w:val="000000" w:themeColor="text1"/>
          <w:szCs w:val="21"/>
          <w14:textFill>
            <w14:solidFill>
              <w14:schemeClr w14:val="tx1"/>
            </w14:solidFill>
          </w14:textFill>
        </w:rPr>
        <w:t>轮报价情况临时增加一轮谈判，邀请供应商进行第</w:t>
      </w:r>
      <w:r>
        <w:rPr>
          <w:rFonts w:hint="eastAsia" w:eastAsiaTheme="minorEastAsia"/>
          <w:color w:val="000000" w:themeColor="text1"/>
          <w:szCs w:val="21"/>
          <w14:textFill>
            <w14:solidFill>
              <w14:schemeClr w14:val="tx1"/>
            </w14:solidFill>
          </w14:textFill>
        </w:rPr>
        <w:t>三</w:t>
      </w:r>
      <w:r>
        <w:rPr>
          <w:rFonts w:eastAsiaTheme="minorEastAsia"/>
          <w:color w:val="000000" w:themeColor="text1"/>
          <w:szCs w:val="21"/>
          <w14:textFill>
            <w14:solidFill>
              <w14:schemeClr w14:val="tx1"/>
            </w14:solidFill>
          </w14:textFill>
        </w:rPr>
        <w:t>轮报价，如达不到预期要求，可继续邀请供应商进行报价。供应商应保持电话畅通，如谈判现场因供应商原因无法联系供应商联系人，视为供应商放弃后续轮次报价。</w:t>
      </w:r>
    </w:p>
    <w:p w14:paraId="499901C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各供应商报价时需特别注意“方洋集团物资采购平台”报价界面等所需填报金额（即权值总加）的单位（“元”）。</w:t>
      </w:r>
    </w:p>
    <w:p w14:paraId="47B0B915">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3.3 谈判有效期</w:t>
      </w:r>
      <w:bookmarkEnd w:id="68"/>
      <w:bookmarkEnd w:id="69"/>
    </w:p>
    <w:p w14:paraId="22FF3EC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3.3.1本项目谈判有效期见“供应商须知前附表”，在规定的谈判有效期内，供应商不得要求撤销或修改其响应文件。</w:t>
      </w:r>
    </w:p>
    <w:p w14:paraId="0561DE0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3.3.2出现特殊情况需要延长谈判有效期的，采购人将通知所有供应商延长谈判有效期。供应商同意延长的，不得要求或被允许修改或撤销其响应文件；供应商拒绝延长的，其响应文件失效。</w:t>
      </w:r>
    </w:p>
    <w:p w14:paraId="16F4459F">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70" w:name="_Toc520410593"/>
      <w:bookmarkStart w:id="71" w:name="_Toc389065168"/>
      <w:bookmarkStart w:id="72" w:name="_Toc520410594"/>
      <w:bookmarkStart w:id="73" w:name="_Toc389065169"/>
      <w:r>
        <w:rPr>
          <w:rFonts w:eastAsiaTheme="minorEastAsia"/>
          <w:b/>
          <w:bCs/>
          <w:color w:val="000000" w:themeColor="text1"/>
          <w:szCs w:val="21"/>
          <w14:textFill>
            <w14:solidFill>
              <w14:schemeClr w14:val="tx1"/>
            </w14:solidFill>
          </w14:textFill>
        </w:rPr>
        <w:t>3.</w:t>
      </w:r>
      <w:r>
        <w:rPr>
          <w:rFonts w:hint="eastAsia" w:eastAsiaTheme="minorEastAsia"/>
          <w:b/>
          <w:bCs/>
          <w:color w:val="000000" w:themeColor="text1"/>
          <w:szCs w:val="21"/>
          <w14:textFill>
            <w14:solidFill>
              <w14:schemeClr w14:val="tx1"/>
            </w14:solidFill>
          </w14:textFill>
        </w:rPr>
        <w:t>4</w:t>
      </w:r>
      <w:r>
        <w:rPr>
          <w:rFonts w:eastAsiaTheme="minorEastAsia"/>
          <w:b/>
          <w:bCs/>
          <w:color w:val="000000" w:themeColor="text1"/>
          <w:szCs w:val="21"/>
          <w14:textFill>
            <w14:solidFill>
              <w14:schemeClr w14:val="tx1"/>
            </w14:solidFill>
          </w14:textFill>
        </w:rPr>
        <w:t xml:space="preserve"> 响应文件的编制</w:t>
      </w:r>
      <w:bookmarkEnd w:id="70"/>
      <w:bookmarkEnd w:id="71"/>
    </w:p>
    <w:p w14:paraId="07560EE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.1供应商应认真阅读谈判文件所有的内容，响应文件应按第六章“响应文件格式”进行编写，如有必要可自行增加，作为响应文件的组成部分。</w:t>
      </w:r>
    </w:p>
    <w:p w14:paraId="66DC35D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.2响应文件应当对谈判文件有关工期、谈判有效期、质量要求、质保期、技术标准和要求、采购范围等实质性内容作出响应。</w:t>
      </w:r>
    </w:p>
    <w:p w14:paraId="40BB436C">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3响应文件要求正本1份，副本2份。响应文件正本须用不能擦去的墨水书写或打印，响应文件副本可以复印，其正、副本一律采用A4纸装订成册，并在封面上正确标明“正本”、“副本”字样，响应文件中正、副本不一致时，以正本为准。未注明用何种语言和币种的，以中文和人民币为准。</w:t>
      </w:r>
    </w:p>
    <w:p w14:paraId="5A86296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.4全套响应文件应无修改和行间插字。如有修改，须在修改处加盖供应商法定代表人或其授权委托人的签字。</w:t>
      </w:r>
    </w:p>
    <w:p w14:paraId="5ADFAD79">
      <w:pPr>
        <w:pStyle w:val="3"/>
      </w:pPr>
      <w:bookmarkStart w:id="74" w:name="_Toc23194"/>
      <w:bookmarkStart w:id="75" w:name="_Toc22364"/>
      <w:r>
        <w:t>四、</w:t>
      </w:r>
      <w:bookmarkEnd w:id="72"/>
      <w:bookmarkEnd w:id="73"/>
      <w:bookmarkStart w:id="76" w:name="_Toc520410595"/>
      <w:bookmarkStart w:id="77" w:name="_Toc389065170"/>
      <w:r>
        <w:t>响应文件的递交、修改与撤回</w:t>
      </w:r>
      <w:bookmarkEnd w:id="74"/>
      <w:bookmarkEnd w:id="75"/>
    </w:p>
    <w:p w14:paraId="1A55F116">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4.1 响应文件的密封和标记（线下谈判要求，线上谈判要求详见“竞争性谈判公告”）</w:t>
      </w:r>
    </w:p>
    <w:p w14:paraId="4616CA1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4.1.1响应文件应放入封袋内密封，在响应文件递交截止时间前提交给采购人。</w:t>
      </w:r>
    </w:p>
    <w:p w14:paraId="60B9E6B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4.1.2响应文件的封袋上应标明采购人名称、标段名称，并加盖供应商单位公章。</w:t>
      </w:r>
    </w:p>
    <w:p w14:paraId="1427F931">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4.2 响应文件的</w:t>
      </w:r>
      <w:bookmarkEnd w:id="76"/>
      <w:bookmarkEnd w:id="77"/>
      <w:r>
        <w:rPr>
          <w:rFonts w:eastAsiaTheme="minorEastAsia"/>
          <w:b/>
          <w:bCs/>
          <w:color w:val="000000" w:themeColor="text1"/>
          <w:szCs w:val="21"/>
          <w14:textFill>
            <w14:solidFill>
              <w14:schemeClr w14:val="tx1"/>
            </w14:solidFill>
          </w14:textFill>
        </w:rPr>
        <w:t>递交</w:t>
      </w:r>
    </w:p>
    <w:p w14:paraId="55558D33">
      <w:pPr>
        <w:spacing w:line="360" w:lineRule="exact"/>
        <w:ind w:firstLine="420"/>
        <w:jc w:val="left"/>
        <w:rPr>
          <w:rFonts w:eastAsiaTheme="minorEastAsia"/>
          <w:color w:val="000000" w:themeColor="text1"/>
          <w:szCs w:val="21"/>
          <w14:textFill>
            <w14:solidFill>
              <w14:schemeClr w14:val="tx1"/>
            </w14:solidFill>
          </w14:textFill>
        </w:rPr>
      </w:pPr>
      <w:bookmarkStart w:id="78" w:name="_Toc389065171"/>
      <w:bookmarkStart w:id="79" w:name="_Toc520410596"/>
      <w:r>
        <w:rPr>
          <w:rFonts w:eastAsiaTheme="minorEastAsia"/>
          <w:color w:val="000000" w:themeColor="text1"/>
          <w:szCs w:val="21"/>
          <w14:textFill>
            <w14:solidFill>
              <w14:schemeClr w14:val="tx1"/>
            </w14:solidFill>
          </w14:textFill>
        </w:rPr>
        <w:t xml:space="preserve">4.2.1 </w:t>
      </w:r>
      <w:bookmarkEnd w:id="78"/>
      <w:bookmarkEnd w:id="79"/>
      <w:r>
        <w:rPr>
          <w:rFonts w:eastAsiaTheme="minorEastAsia"/>
          <w:color w:val="000000" w:themeColor="text1"/>
          <w:szCs w:val="21"/>
          <w14:textFill>
            <w14:solidFill>
              <w14:schemeClr w14:val="tx1"/>
            </w14:solidFill>
          </w14:textFill>
        </w:rPr>
        <w:t>供应商应在供应商须知前附表规定的响应文件递交截止时间前，向“方洋集团物资采购平台”递交电子响应文件。</w:t>
      </w:r>
    </w:p>
    <w:p w14:paraId="37489D84">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4.2.2 响应文件递交的地点：详见“供应商须知前附表”。</w:t>
      </w:r>
    </w:p>
    <w:p w14:paraId="21306AD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4.2.3 逾期上传电子响应文件的，采购人不予受理。</w:t>
      </w:r>
    </w:p>
    <w:p w14:paraId="0C550BB6">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80" w:name="_Toc389065172"/>
      <w:bookmarkStart w:id="81" w:name="_Toc520410597"/>
      <w:r>
        <w:rPr>
          <w:rFonts w:eastAsiaTheme="minorEastAsia"/>
          <w:b/>
          <w:bCs/>
          <w:color w:val="000000" w:themeColor="text1"/>
          <w:szCs w:val="21"/>
          <w14:textFill>
            <w14:solidFill>
              <w14:schemeClr w14:val="tx1"/>
            </w14:solidFill>
          </w14:textFill>
        </w:rPr>
        <w:t>4.3响应文件的修改与撤回</w:t>
      </w:r>
      <w:bookmarkEnd w:id="80"/>
      <w:bookmarkEnd w:id="81"/>
    </w:p>
    <w:p w14:paraId="009C0E5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在本章第4.1项规定的</w:t>
      </w:r>
      <w:r>
        <w:rPr>
          <w:rFonts w:eastAsiaTheme="minorEastAsia"/>
          <w:b/>
          <w:bCs/>
          <w:color w:val="000000" w:themeColor="text1"/>
          <w:szCs w:val="21"/>
          <w14:textFill>
            <w14:solidFill>
              <w14:schemeClr w14:val="tx1"/>
            </w14:solidFill>
          </w14:textFill>
        </w:rPr>
        <w:t>响应文件递交截止</w:t>
      </w:r>
      <w:r>
        <w:rPr>
          <w:rFonts w:eastAsiaTheme="minorEastAsia"/>
          <w:color w:val="000000" w:themeColor="text1"/>
          <w:szCs w:val="21"/>
          <w14:textFill>
            <w14:solidFill>
              <w14:schemeClr w14:val="tx1"/>
            </w14:solidFill>
          </w14:textFill>
        </w:rPr>
        <w:t>时间前，供应商可以修改或撤回已递交的响应文件。</w:t>
      </w:r>
    </w:p>
    <w:p w14:paraId="5D3A165F">
      <w:pPr>
        <w:pStyle w:val="3"/>
      </w:pPr>
      <w:bookmarkStart w:id="82" w:name="_Toc2972"/>
      <w:bookmarkStart w:id="83" w:name="_Toc17179"/>
      <w:bookmarkStart w:id="84" w:name="_Toc152042335"/>
      <w:bookmarkStart w:id="85" w:name="_Toc144974527"/>
      <w:bookmarkStart w:id="86" w:name="_Toc247513983"/>
      <w:bookmarkStart w:id="87" w:name="_Toc152045559"/>
      <w:bookmarkStart w:id="88" w:name="_Toc443200841"/>
      <w:bookmarkStart w:id="89" w:name="_Toc247527584"/>
      <w:r>
        <w:t>五、谈判与评审</w:t>
      </w:r>
      <w:bookmarkEnd w:id="82"/>
      <w:bookmarkEnd w:id="83"/>
    </w:p>
    <w:bookmarkEnd w:id="84"/>
    <w:bookmarkEnd w:id="85"/>
    <w:bookmarkEnd w:id="86"/>
    <w:bookmarkEnd w:id="87"/>
    <w:bookmarkEnd w:id="88"/>
    <w:bookmarkEnd w:id="89"/>
    <w:p w14:paraId="54853227">
      <w:pPr>
        <w:spacing w:line="360" w:lineRule="exact"/>
        <w:ind w:firstLine="0" w:firstLineChars="0"/>
        <w:jc w:val="left"/>
        <w:rPr>
          <w:rFonts w:eastAsiaTheme="minorEastAsia"/>
          <w:bCs/>
          <w:color w:val="000000" w:themeColor="text1"/>
          <w:szCs w:val="21"/>
          <w14:textFill>
            <w14:solidFill>
              <w14:schemeClr w14:val="tx1"/>
            </w14:solidFill>
          </w14:textFill>
        </w:rPr>
      </w:pPr>
      <w:bookmarkStart w:id="90" w:name="_Toc520410600"/>
      <w:bookmarkStart w:id="91" w:name="_Toc389065175"/>
      <w:r>
        <w:rPr>
          <w:rFonts w:eastAsiaTheme="minorEastAsia"/>
          <w:b/>
          <w:color w:val="000000" w:themeColor="text1"/>
          <w:szCs w:val="21"/>
          <w14:textFill>
            <w14:solidFill>
              <w14:schemeClr w14:val="tx1"/>
            </w14:solidFill>
          </w14:textFill>
        </w:rPr>
        <w:t>5.1</w:t>
      </w:r>
      <w:bookmarkEnd w:id="90"/>
      <w:bookmarkEnd w:id="91"/>
      <w:bookmarkStart w:id="92" w:name="_Toc520410601"/>
      <w:bookmarkStart w:id="93" w:name="_Toc389065176"/>
      <w:r>
        <w:rPr>
          <w:rFonts w:eastAsiaTheme="minorEastAsia"/>
          <w:b/>
          <w:color w:val="000000" w:themeColor="text1"/>
          <w:szCs w:val="21"/>
          <w14:textFill>
            <w14:solidFill>
              <w14:schemeClr w14:val="tx1"/>
            </w14:solidFill>
          </w14:textFill>
        </w:rPr>
        <w:t>谈判时间、地点和供应商参会代表：</w:t>
      </w:r>
    </w:p>
    <w:p w14:paraId="0DCC792D">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5.1.1谈判时间和地点：详见“供应商须知前附表”。</w:t>
      </w:r>
    </w:p>
    <w:p w14:paraId="345FCAC9">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5.1.2参加谈判会议的供应商代表：详见“供应商须知前附表”。</w:t>
      </w:r>
    </w:p>
    <w:p w14:paraId="6B57E3EE">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5.1.3参加谈判会的供应商代表的要求：</w:t>
      </w:r>
    </w:p>
    <w:p w14:paraId="178B9FA5">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（1）由法定代表人出席谈判的，谈判时需递交法定代表人身份证明、法定代表人身份证原件；</w:t>
      </w:r>
    </w:p>
    <w:p w14:paraId="304E74A5">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（2）由授权委托人出席谈判的，谈判时需递交法定代表人授权委托书、委托代理人身份证原件。</w:t>
      </w:r>
    </w:p>
    <w:p w14:paraId="5B9721D6">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未按要求派相关人员参加谈判的，其谈判将被拒绝。</w:t>
      </w:r>
    </w:p>
    <w:p w14:paraId="07F37B1F">
      <w:pPr>
        <w:spacing w:line="360" w:lineRule="exact"/>
        <w:ind w:firstLine="0" w:firstLineChars="0"/>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5.2谈判程序</w:t>
      </w:r>
    </w:p>
    <w:p w14:paraId="1CEF8F3E">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第一阶段：宣布谈判纪律，对谈判项目的工程概况、谈判流程、评审办法及其他特殊要求进行简单说明；</w:t>
      </w:r>
    </w:p>
    <w:p w14:paraId="2F875B1A">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第二阶段：谈判评审小组审阅各供应商所递交的响应文件，清除不合格的响应文件并告知对应供应商；</w:t>
      </w:r>
    </w:p>
    <w:p w14:paraId="3C3F0C84">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第三阶段：谈判评审小组根据项目和响应文件的实际情况与符合要求供应商进行谈判。</w:t>
      </w:r>
    </w:p>
    <w:p w14:paraId="42F3AA44">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本项目原则上采取</w:t>
      </w:r>
      <w:r>
        <w:rPr>
          <w:rFonts w:hint="eastAsia" w:eastAsiaTheme="minorEastAsia"/>
          <w:bCs/>
          <w:color w:val="000000" w:themeColor="text1"/>
          <w:szCs w:val="21"/>
          <w14:textFill>
            <w14:solidFill>
              <w14:schemeClr w14:val="tx1"/>
            </w14:solidFill>
          </w14:textFill>
        </w:rPr>
        <w:t>两</w:t>
      </w:r>
      <w:r>
        <w:rPr>
          <w:rFonts w:eastAsiaTheme="minorEastAsia"/>
          <w:b/>
          <w:color w:val="000000" w:themeColor="text1"/>
          <w:szCs w:val="21"/>
          <w14:textFill>
            <w14:solidFill>
              <w14:schemeClr w14:val="tx1"/>
            </w14:solidFill>
          </w14:textFill>
        </w:rPr>
        <w:t>轮</w:t>
      </w:r>
      <w:r>
        <w:rPr>
          <w:rFonts w:eastAsiaTheme="minorEastAsia"/>
          <w:bCs/>
          <w:color w:val="000000" w:themeColor="text1"/>
          <w:szCs w:val="21"/>
          <w14:textFill>
            <w14:solidFill>
              <w14:schemeClr w14:val="tx1"/>
            </w14:solidFill>
          </w14:textFill>
        </w:rPr>
        <w:t>报价，响应文件中已有的报价为第一轮报价；评审小组可根据第二轮报价情况临时增加一轮谈判，</w:t>
      </w:r>
      <w:r>
        <w:rPr>
          <w:rFonts w:eastAsiaTheme="minorEastAsia"/>
          <w:b/>
          <w:color w:val="000000" w:themeColor="text1"/>
          <w:szCs w:val="21"/>
          <w14:textFill>
            <w14:solidFill>
              <w14:schemeClr w14:val="tx1"/>
            </w14:solidFill>
          </w14:textFill>
        </w:rPr>
        <w:t>从第二轮报价开始，每一轮报价前，采购人公布前一轮有效响应文件最低报价</w:t>
      </w:r>
      <w:r>
        <w:rPr>
          <w:rFonts w:eastAsiaTheme="minorEastAsia"/>
          <w:bCs/>
          <w:color w:val="000000" w:themeColor="text1"/>
          <w:szCs w:val="21"/>
          <w14:textFill>
            <w14:solidFill>
              <w14:schemeClr w14:val="tx1"/>
            </w14:solidFill>
          </w14:textFill>
        </w:rPr>
        <w:t>，如达不到预期要求，可继续邀请供应商进行报价。</w:t>
      </w:r>
    </w:p>
    <w:p w14:paraId="7418E2D6">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第四阶段：现场宣读各符合要求供应商的最终报价。</w:t>
      </w:r>
    </w:p>
    <w:p w14:paraId="59226656">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第五阶段：评审小组根据最终的谈判报价为定标依据，推荐成交候选人。</w:t>
      </w:r>
    </w:p>
    <w:p w14:paraId="68600B69">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w:t>
      </w:r>
      <w:bookmarkEnd w:id="92"/>
      <w:r>
        <w:rPr>
          <w:rFonts w:eastAsiaTheme="minorEastAsia"/>
          <w:b/>
          <w:bCs/>
          <w:color w:val="000000" w:themeColor="text1"/>
          <w:szCs w:val="21"/>
          <w14:textFill>
            <w14:solidFill>
              <w14:schemeClr w14:val="tx1"/>
            </w14:solidFill>
          </w14:textFill>
        </w:rPr>
        <w:t>3特殊情况处理</w:t>
      </w:r>
    </w:p>
    <w:bookmarkEnd w:id="93"/>
    <w:p w14:paraId="7193B63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供应商对谈判活动过程有异议的，应当在现场提出，采购人或代理机构应当场作出答复，并作书面记录，谈判活动结束后供应商再对谈判过程提出异议的，采购人不再受理。</w:t>
      </w:r>
    </w:p>
    <w:p w14:paraId="5D19157F">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w:t>
      </w:r>
      <w:bookmarkStart w:id="94" w:name="_Toc520410603"/>
      <w:bookmarkStart w:id="95" w:name="_Toc389065178"/>
      <w:r>
        <w:rPr>
          <w:rFonts w:eastAsiaTheme="minorEastAsia"/>
          <w:b/>
          <w:bCs/>
          <w:color w:val="000000" w:themeColor="text1"/>
          <w:szCs w:val="21"/>
          <w14:textFill>
            <w14:solidFill>
              <w14:schemeClr w14:val="tx1"/>
            </w14:solidFill>
          </w14:textFill>
        </w:rPr>
        <w:t>4谈判评审小组</w:t>
      </w:r>
      <w:bookmarkEnd w:id="94"/>
      <w:bookmarkEnd w:id="95"/>
    </w:p>
    <w:p w14:paraId="0D35A6A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5.4.1 评审工作由采购人依法组建的谈判评审小组负责。评审小组成员人数以及小组成员的确定方式见“供应商须知前附表”。</w:t>
      </w:r>
    </w:p>
    <w:p w14:paraId="41EBEFC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5.4.2 评审小组成员有下列情形之一的，应当回避：</w:t>
      </w:r>
      <w:bookmarkStart w:id="96" w:name="_Toc389065179"/>
    </w:p>
    <w:p w14:paraId="37EB553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（1）供应商或供应商的主要负责人的近亲属；</w:t>
      </w:r>
    </w:p>
    <w:p w14:paraId="365A1634">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（2）与供应商有经济利益关系，可能影响对谈判公正评审的；</w:t>
      </w:r>
    </w:p>
    <w:p w14:paraId="37D8EEC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（3）曾因在采购有关活动中从事违法行为而受过行政处罚或刑事处罚的。</w:t>
      </w:r>
    </w:p>
    <w:p w14:paraId="13DC6D43">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97" w:name="_Toc520410604"/>
      <w:r>
        <w:rPr>
          <w:rFonts w:eastAsiaTheme="minorEastAsia"/>
          <w:b/>
          <w:bCs/>
          <w:color w:val="000000" w:themeColor="text1"/>
          <w:szCs w:val="21"/>
          <w14:textFill>
            <w14:solidFill>
              <w14:schemeClr w14:val="tx1"/>
            </w14:solidFill>
          </w14:textFill>
        </w:rPr>
        <w:t>5.5评审原则</w:t>
      </w:r>
      <w:bookmarkEnd w:id="96"/>
      <w:bookmarkEnd w:id="97"/>
    </w:p>
    <w:p w14:paraId="080B714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评审活动遵循公平、公正、科学和择优的原则。</w:t>
      </w:r>
    </w:p>
    <w:p w14:paraId="77B72C93">
      <w:pP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5.6评审</w:t>
      </w:r>
    </w:p>
    <w:p w14:paraId="6126845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4CBC3E3B">
      <w:pPr>
        <w:spacing w:line="360" w:lineRule="exact"/>
        <w:ind w:firstLine="422"/>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评审过程中，由评审小组对不平衡报价进行审查，发现不平衡报价，评审过程中联系供应商进行澄清修正并做好记录。</w:t>
      </w:r>
    </w:p>
    <w:p w14:paraId="55CA33A0">
      <w:pPr>
        <w:pStyle w:val="3"/>
        <w:rPr>
          <w:bCs/>
        </w:rPr>
      </w:pPr>
      <w:bookmarkStart w:id="98" w:name="_Toc13763"/>
      <w:bookmarkStart w:id="99" w:name="_Toc27230"/>
      <w:r>
        <w:t>六、成交结果公示</w:t>
      </w:r>
      <w:bookmarkEnd w:id="98"/>
      <w:bookmarkEnd w:id="99"/>
    </w:p>
    <w:p w14:paraId="29F53935">
      <w:pPr>
        <w:spacing w:line="360" w:lineRule="exact"/>
        <w:ind w:firstLine="422"/>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6.1</w:t>
      </w:r>
      <w:r>
        <w:rPr>
          <w:rFonts w:eastAsiaTheme="minorEastAsia"/>
          <w:color w:val="000000" w:themeColor="text1"/>
          <w:szCs w:val="21"/>
          <w14:textFill>
            <w14:solidFill>
              <w14:schemeClr w14:val="tx1"/>
            </w14:solidFill>
          </w14:textFill>
        </w:rPr>
        <w:t>采购人在收到评审报告之日起3日内在本采购项目竞争性谈判公告发布的同一媒介发布成交结果公示，公示期不少于3日。</w:t>
      </w:r>
    </w:p>
    <w:p w14:paraId="27EB9D83">
      <w:pPr>
        <w:spacing w:line="360" w:lineRule="exact"/>
        <w:ind w:firstLine="422"/>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6.2</w:t>
      </w:r>
      <w:r>
        <w:rPr>
          <w:rFonts w:eastAsiaTheme="minorEastAsia"/>
          <w:color w:val="000000" w:themeColor="text1"/>
          <w:szCs w:val="21"/>
          <w14:textFill>
            <w14:solidFill>
              <w14:schemeClr w14:val="tx1"/>
            </w14:solidFill>
          </w14:textFill>
        </w:rPr>
        <w:t>公示内容包括成交供应商名称、项目负责人（经理）、成交价格、工期及评审小组评审情况。</w:t>
      </w:r>
    </w:p>
    <w:p w14:paraId="234ADF48">
      <w:pPr>
        <w:spacing w:line="360" w:lineRule="exact"/>
        <w:ind w:firstLine="422"/>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6.3</w:t>
      </w:r>
      <w:r>
        <w:rPr>
          <w:rFonts w:eastAsiaTheme="minorEastAsia"/>
          <w:color w:val="000000" w:themeColor="text1"/>
          <w:szCs w:val="21"/>
          <w14:textFill>
            <w14:solidFill>
              <w14:schemeClr w14:val="tx1"/>
            </w14:solidFill>
          </w14:textFill>
        </w:rPr>
        <w:t>供应商或者其他利害关系人对评审结果有异议的，应当在公示期间提出。采购人自收到异议之日起3日内作出答复。</w:t>
      </w:r>
    </w:p>
    <w:p w14:paraId="7B7554FC">
      <w:pPr>
        <w:pStyle w:val="3"/>
      </w:pPr>
      <w:bookmarkStart w:id="100" w:name="_Toc520410607"/>
      <w:bookmarkStart w:id="101" w:name="_Toc1780"/>
      <w:bookmarkStart w:id="102" w:name="_Toc4678"/>
      <w:r>
        <w:t>七、</w:t>
      </w:r>
      <w:bookmarkEnd w:id="100"/>
      <w:r>
        <w:t>合同授予</w:t>
      </w:r>
      <w:bookmarkEnd w:id="101"/>
      <w:bookmarkEnd w:id="102"/>
    </w:p>
    <w:p w14:paraId="659F645A">
      <w:pPr>
        <w:spacing w:line="360" w:lineRule="exact"/>
        <w:ind w:firstLine="422"/>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7.1</w:t>
      </w:r>
      <w:r>
        <w:rPr>
          <w:rFonts w:eastAsiaTheme="minorEastAsia"/>
          <w:color w:val="000000" w:themeColor="text1"/>
          <w:szCs w:val="21"/>
          <w14:textFill>
            <w14:solidFill>
              <w14:schemeClr w14:val="tx1"/>
            </w14:solidFill>
          </w14:textFill>
        </w:rPr>
        <w:t>采购人应当确定谈判评审小组推荐的1名成交候选人为成交供应商。</w:t>
      </w:r>
    </w:p>
    <w:p w14:paraId="4E5FEF20">
      <w:pPr>
        <w:spacing w:line="360" w:lineRule="exact"/>
        <w:ind w:firstLine="422"/>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7.</w:t>
      </w:r>
      <w:r>
        <w:rPr>
          <w:rFonts w:hint="eastAsia" w:eastAsiaTheme="minorEastAsia"/>
          <w:b/>
          <w:bCs/>
          <w:color w:val="000000" w:themeColor="text1"/>
          <w:szCs w:val="21"/>
          <w14:textFill>
            <w14:solidFill>
              <w14:schemeClr w14:val="tx1"/>
            </w14:solidFill>
          </w14:textFill>
        </w:rPr>
        <w:t>2</w:t>
      </w:r>
      <w:r>
        <w:rPr>
          <w:rFonts w:eastAsiaTheme="minorEastAsia"/>
          <w:b/>
          <w:bCs/>
          <w:color w:val="000000" w:themeColor="text1"/>
          <w:szCs w:val="21"/>
          <w14:textFill>
            <w14:solidFill>
              <w14:schemeClr w14:val="tx1"/>
            </w14:solidFill>
          </w14:textFill>
        </w:rPr>
        <w:t>签订合同</w:t>
      </w:r>
    </w:p>
    <w:p w14:paraId="78D4428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1成交供应商公示期满无异议或投诉的，采购人将按有关规定及时与成交供应商订立书面合同。成交供应商无正当理由拒签合同的，采购人将取消其成交供应商资格，给采购人造成的损失，成交供应商应当予以赔偿。</w:t>
      </w:r>
    </w:p>
    <w:p w14:paraId="7A3CCAD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2已成交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3BBB5E8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.3签订合同时，项目经理部主要管理人员须在合同中明确，未经采购人同意，不得更换项目部主要管理人员。</w:t>
      </w:r>
    </w:p>
    <w:p w14:paraId="315054A0">
      <w:pPr>
        <w:pStyle w:val="3"/>
      </w:pPr>
      <w:bookmarkStart w:id="103" w:name="_Toc389065192"/>
      <w:bookmarkStart w:id="104" w:name="_Toc7171"/>
      <w:bookmarkStart w:id="105" w:name="_Toc7368"/>
      <w:bookmarkStart w:id="106" w:name="_Toc520410612"/>
      <w:r>
        <w:t>八、纪律和监督</w:t>
      </w:r>
      <w:bookmarkEnd w:id="103"/>
      <w:bookmarkEnd w:id="104"/>
      <w:bookmarkEnd w:id="105"/>
      <w:bookmarkEnd w:id="106"/>
    </w:p>
    <w:p w14:paraId="773B2593">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107" w:name="_Toc520410613"/>
      <w:bookmarkStart w:id="108" w:name="_Toc389065193"/>
      <w:r>
        <w:rPr>
          <w:rFonts w:eastAsiaTheme="minorEastAsia"/>
          <w:b/>
          <w:bCs/>
          <w:color w:val="000000" w:themeColor="text1"/>
          <w:szCs w:val="21"/>
          <w14:textFill>
            <w14:solidFill>
              <w14:schemeClr w14:val="tx1"/>
            </w14:solidFill>
          </w14:textFill>
        </w:rPr>
        <w:t>8.1 对采购人的纪律要求</w:t>
      </w:r>
      <w:bookmarkEnd w:id="107"/>
      <w:bookmarkEnd w:id="108"/>
    </w:p>
    <w:p w14:paraId="0A7CB92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采购人不得泄漏采购活动中应当保密的情况和资料，不得与供应商串通损害国家利益、社会公共利益或者他人合法权益。</w:t>
      </w:r>
    </w:p>
    <w:p w14:paraId="370CB802">
      <w:pPr>
        <w:spacing w:line="360" w:lineRule="exact"/>
        <w:ind w:firstLine="0" w:firstLineChars="0"/>
        <w:jc w:val="left"/>
        <w:rPr>
          <w:rFonts w:eastAsiaTheme="minorEastAsia"/>
          <w:color w:val="000000" w:themeColor="text1"/>
          <w:szCs w:val="21"/>
          <w14:textFill>
            <w14:solidFill>
              <w14:schemeClr w14:val="tx1"/>
            </w14:solidFill>
          </w14:textFill>
        </w:rPr>
      </w:pPr>
      <w:bookmarkStart w:id="109" w:name="_Toc520410614"/>
      <w:r>
        <w:rPr>
          <w:rFonts w:eastAsiaTheme="minorEastAsia"/>
          <w:b/>
          <w:bCs/>
          <w:color w:val="000000" w:themeColor="text1"/>
          <w:szCs w:val="21"/>
          <w14:textFill>
            <w14:solidFill>
              <w14:schemeClr w14:val="tx1"/>
            </w14:solidFill>
          </w14:textFill>
        </w:rPr>
        <w:t>8.2 对供应商的纪律要求</w:t>
      </w:r>
      <w:bookmarkEnd w:id="109"/>
    </w:p>
    <w:p w14:paraId="66991C5E">
      <w:pPr>
        <w:spacing w:line="360" w:lineRule="exact"/>
        <w:ind w:firstLine="420"/>
        <w:rPr>
          <w:szCs w:val="21"/>
        </w:rPr>
      </w:pPr>
      <w:r>
        <w:rPr>
          <w:szCs w:val="21"/>
        </w:rPr>
        <w:t>8.2.1供应商不得相互串通或者与采购人串通参加采购活动，供应商有下列情形之一的，直接视为串通投标。</w:t>
      </w:r>
    </w:p>
    <w:p w14:paraId="756F99AC">
      <w:pPr>
        <w:spacing w:line="360" w:lineRule="exact"/>
        <w:ind w:firstLine="420"/>
        <w:rPr>
          <w:szCs w:val="21"/>
        </w:rPr>
      </w:pPr>
      <w:r>
        <w:rPr>
          <w:szCs w:val="21"/>
        </w:rPr>
        <w:t>（1）不同供应商的响应文件内容异常一致；</w:t>
      </w:r>
    </w:p>
    <w:p w14:paraId="6471FDD5">
      <w:pPr>
        <w:spacing w:line="360" w:lineRule="exact"/>
        <w:ind w:firstLine="420"/>
        <w:rPr>
          <w:szCs w:val="21"/>
        </w:rPr>
      </w:pPr>
      <w:r>
        <w:rPr>
          <w:szCs w:val="21"/>
        </w:rPr>
        <w:t>（2）不同供应商的报价或报价组成多处异常且一致或呈现规律性变化；</w:t>
      </w:r>
    </w:p>
    <w:p w14:paraId="679F5944">
      <w:pPr>
        <w:spacing w:line="360" w:lineRule="exact"/>
        <w:ind w:firstLine="420"/>
        <w:rPr>
          <w:szCs w:val="21"/>
        </w:rPr>
      </w:pPr>
      <w:r>
        <w:rPr>
          <w:szCs w:val="21"/>
        </w:rPr>
        <w:t>（3）不同供应商的响应文件因非采购人原因纯在3处以上错漏内容一致；</w:t>
      </w:r>
    </w:p>
    <w:p w14:paraId="662275C1">
      <w:pPr>
        <w:spacing w:line="360" w:lineRule="exact"/>
        <w:ind w:firstLine="420"/>
        <w:rPr>
          <w:szCs w:val="21"/>
        </w:rPr>
      </w:pPr>
      <w:r>
        <w:rPr>
          <w:szCs w:val="21"/>
        </w:rPr>
        <w:t>（4）不同供应商的响应文件载明的法定代表人或授权委托人或项目组成员为同一人；</w:t>
      </w:r>
    </w:p>
    <w:p w14:paraId="0D233668">
      <w:pPr>
        <w:spacing w:line="360" w:lineRule="exact"/>
        <w:ind w:firstLine="420"/>
        <w:rPr>
          <w:szCs w:val="21"/>
        </w:rPr>
      </w:pPr>
      <w:r>
        <w:rPr>
          <w:szCs w:val="21"/>
        </w:rPr>
        <w:t>（5）不同供应商的响应文件由同一台电子设备编制、打包、加密、上传、打印或复印；</w:t>
      </w:r>
    </w:p>
    <w:p w14:paraId="371F2668">
      <w:pPr>
        <w:spacing w:line="360" w:lineRule="exact"/>
        <w:ind w:firstLine="420"/>
        <w:rPr>
          <w:szCs w:val="21"/>
        </w:rPr>
      </w:pPr>
      <w:r>
        <w:rPr>
          <w:szCs w:val="21"/>
        </w:rPr>
        <w:t>（6）不同供应商的响应文件提交的IP地址一致</w:t>
      </w:r>
      <w:r>
        <w:rPr>
          <w:rFonts w:hint="eastAsia"/>
          <w:szCs w:val="21"/>
        </w:rPr>
        <w:t>且</w:t>
      </w:r>
      <w:r>
        <w:rPr>
          <w:szCs w:val="21"/>
        </w:rPr>
        <w:t>未按要求提供或提供的证据不能充分证明其未参与恶意串通；</w:t>
      </w:r>
    </w:p>
    <w:p w14:paraId="5E04E6CE">
      <w:pPr>
        <w:spacing w:line="360" w:lineRule="exact"/>
        <w:ind w:firstLine="420"/>
        <w:rPr>
          <w:szCs w:val="21"/>
        </w:rPr>
      </w:pPr>
      <w:r>
        <w:rPr>
          <w:szCs w:val="21"/>
        </w:rPr>
        <w:t>（7）不同供应商的采购活动保证金由同一单位或个人账户转出；</w:t>
      </w:r>
    </w:p>
    <w:p w14:paraId="231582B9">
      <w:pPr>
        <w:spacing w:line="360" w:lineRule="exact"/>
        <w:ind w:firstLine="420"/>
        <w:rPr>
          <w:szCs w:val="21"/>
        </w:rPr>
      </w:pPr>
      <w:r>
        <w:rPr>
          <w:szCs w:val="21"/>
        </w:rPr>
        <w:t>（8）不同供应商授权委托同一人参与采购活动；</w:t>
      </w:r>
    </w:p>
    <w:p w14:paraId="2BFE1EF0">
      <w:pPr>
        <w:spacing w:line="360" w:lineRule="exact"/>
        <w:ind w:firstLine="420"/>
        <w:rPr>
          <w:szCs w:val="21"/>
        </w:rPr>
      </w:pPr>
      <w:r>
        <w:rPr>
          <w:szCs w:val="21"/>
        </w:rPr>
        <w:t>（9）不同供应商聘请同一人为其参与采购活动提供技术或咨询服务（采购活动特殊要求的除外）；</w:t>
      </w:r>
    </w:p>
    <w:p w14:paraId="78250996">
      <w:pPr>
        <w:spacing w:line="360" w:lineRule="exact"/>
        <w:ind w:firstLine="420"/>
        <w:rPr>
          <w:szCs w:val="21"/>
        </w:rPr>
      </w:pPr>
      <w:r>
        <w:rPr>
          <w:szCs w:val="21"/>
        </w:rPr>
        <w:t>（10）法律、法规规定的其他视为串标、围标的情形。</w:t>
      </w:r>
    </w:p>
    <w:p w14:paraId="266B8C0E">
      <w:pPr>
        <w:spacing w:line="360" w:lineRule="exact"/>
        <w:ind w:firstLine="420"/>
        <w:rPr>
          <w:szCs w:val="21"/>
        </w:rPr>
      </w:pPr>
      <w:r>
        <w:rPr>
          <w:szCs w:val="21"/>
        </w:rPr>
        <w:t>8.2.2供应商不得向采购人或者磋商评审小组成员行贿谋取成交，不得以他人名义参加磋商或者以其他方式弄虚作假骗取成交。</w:t>
      </w:r>
    </w:p>
    <w:p w14:paraId="06BCCFF3">
      <w:pPr>
        <w:spacing w:line="360" w:lineRule="exact"/>
        <w:ind w:firstLine="420"/>
        <w:rPr>
          <w:rFonts w:eastAsiaTheme="minorEastAsia"/>
          <w:color w:val="000000" w:themeColor="text1"/>
          <w:szCs w:val="21"/>
          <w14:textFill>
            <w14:solidFill>
              <w14:schemeClr w14:val="tx1"/>
            </w14:solidFill>
          </w14:textFill>
        </w:rPr>
      </w:pPr>
      <w:r>
        <w:rPr>
          <w:szCs w:val="21"/>
        </w:rPr>
        <w:t>8.2.3供应商不得以任何方式干扰、影响评审工作。在响应文件的审查、澄清、评价和比较以及授予合同过程中，供应商对采购人和评审小组成员施加影响的任何行为，都将导致取消其成交供应商资格。</w:t>
      </w:r>
    </w:p>
    <w:p w14:paraId="3A42CF1C">
      <w:pP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110" w:name="_Toc389065194"/>
      <w:bookmarkStart w:id="111" w:name="_Toc520410615"/>
      <w:r>
        <w:rPr>
          <w:rFonts w:eastAsiaTheme="minorEastAsia"/>
          <w:b/>
          <w:bCs/>
          <w:color w:val="000000" w:themeColor="text1"/>
          <w:szCs w:val="21"/>
          <w14:textFill>
            <w14:solidFill>
              <w14:schemeClr w14:val="tx1"/>
            </w14:solidFill>
          </w14:textFill>
        </w:rPr>
        <w:t>8.3 对谈判评审小组成员的纪律要求</w:t>
      </w:r>
      <w:bookmarkEnd w:id="110"/>
      <w:bookmarkEnd w:id="111"/>
    </w:p>
    <w:p w14:paraId="41F8F938">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27D9FA71">
      <w:pPr>
        <w:spacing w:line="360" w:lineRule="exact"/>
        <w:ind w:firstLine="0" w:firstLineChars="0"/>
        <w:jc w:val="left"/>
        <w:rPr>
          <w:rFonts w:eastAsiaTheme="minorEastAsia"/>
          <w:color w:val="000000" w:themeColor="text1"/>
          <w:szCs w:val="21"/>
          <w14:textFill>
            <w14:solidFill>
              <w14:schemeClr w14:val="tx1"/>
            </w14:solidFill>
          </w14:textFill>
        </w:rPr>
      </w:pPr>
      <w:bookmarkStart w:id="112" w:name="_Toc389065195"/>
      <w:bookmarkStart w:id="113" w:name="_Toc520410616"/>
      <w:r>
        <w:rPr>
          <w:rFonts w:eastAsiaTheme="minorEastAsia"/>
          <w:b/>
          <w:bCs/>
          <w:color w:val="000000" w:themeColor="text1"/>
          <w:szCs w:val="21"/>
          <w14:textFill>
            <w14:solidFill>
              <w14:schemeClr w14:val="tx1"/>
            </w14:solidFill>
          </w14:textFill>
        </w:rPr>
        <w:t>8.4 对与评审活动有关的工作人员的纪律要求</w:t>
      </w:r>
      <w:bookmarkEnd w:id="112"/>
      <w:bookmarkEnd w:id="113"/>
    </w:p>
    <w:p w14:paraId="2CBE1D6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14" w:name="_Toc389065196"/>
    </w:p>
    <w:p w14:paraId="351FD36F">
      <w:pPr>
        <w:spacing w:line="360" w:lineRule="exact"/>
        <w:ind w:firstLine="0" w:firstLineChars="0"/>
        <w:jc w:val="left"/>
        <w:rPr>
          <w:rFonts w:eastAsiaTheme="minorEastAsia"/>
          <w:color w:val="000000" w:themeColor="text1"/>
          <w:szCs w:val="21"/>
          <w14:textFill>
            <w14:solidFill>
              <w14:schemeClr w14:val="tx1"/>
            </w14:solidFill>
          </w14:textFill>
        </w:rPr>
      </w:pPr>
      <w:bookmarkStart w:id="115" w:name="_Toc520410617"/>
      <w:r>
        <w:rPr>
          <w:rFonts w:eastAsiaTheme="minorEastAsia"/>
          <w:b/>
          <w:bCs/>
          <w:color w:val="000000" w:themeColor="text1"/>
          <w:szCs w:val="21"/>
          <w14:textFill>
            <w14:solidFill>
              <w14:schemeClr w14:val="tx1"/>
            </w14:solidFill>
          </w14:textFill>
        </w:rPr>
        <w:t>8.5 异议与投诉</w:t>
      </w:r>
      <w:bookmarkEnd w:id="114"/>
      <w:bookmarkEnd w:id="115"/>
      <w:bookmarkStart w:id="116" w:name="_Toc389065197"/>
    </w:p>
    <w:p w14:paraId="069AA1F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8.5.1供应商或者其他利害关系人对采购项目谈判文件有异议的，应当在提交响应文件截止时间2日前提出。采购人或代理机构应当自收到异议之日起3日内作出答复；作出答复前，应当暂停采购活动。</w:t>
      </w:r>
    </w:p>
    <w:p w14:paraId="054F1362">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8.5.2供应商或者其他利害关系人对采购项目的评审结果有异议的，应当在成交结果公示期间提出。采购人或代理机构应当自收到异议之日起3日内作出答复；作出答复前，应当暂停采购活动。</w:t>
      </w:r>
    </w:p>
    <w:p w14:paraId="0C05B5A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390BDA4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8.5.4异议时应当提出而未提出的事项，投诉时不予受理；异议、投诉的提出及后续处理须由供应商确定的授权委托代表全程参与，转委托无效。采购人可根据实际情况约谈提出异议、投诉供应商的法定代表人。</w:t>
      </w:r>
    </w:p>
    <w:bookmarkEnd w:id="116"/>
    <w:p w14:paraId="05332FC9">
      <w:pPr>
        <w:pStyle w:val="3"/>
      </w:pPr>
      <w:bookmarkStart w:id="117" w:name="_Toc19029"/>
      <w:bookmarkStart w:id="118" w:name="_Toc520410618"/>
      <w:bookmarkStart w:id="119" w:name="_Toc30356"/>
      <w:r>
        <w:t>九、解释权</w:t>
      </w:r>
      <w:bookmarkEnd w:id="117"/>
      <w:bookmarkEnd w:id="118"/>
      <w:bookmarkEnd w:id="119"/>
    </w:p>
    <w:p w14:paraId="4BE2DFA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1E71B7A6">
      <w:pPr>
        <w:pStyle w:val="3"/>
      </w:pPr>
      <w:bookmarkStart w:id="120" w:name="_Toc520410619"/>
      <w:bookmarkStart w:id="121" w:name="_Toc19223"/>
      <w:bookmarkStart w:id="122" w:name="_Toc4836"/>
      <w:r>
        <w:t>十、采购人补充的其他内容</w:t>
      </w:r>
      <w:bookmarkEnd w:id="120"/>
      <w:bookmarkEnd w:id="121"/>
      <w:bookmarkEnd w:id="122"/>
    </w:p>
    <w:p w14:paraId="210B6EDF">
      <w:pPr>
        <w:spacing w:line="360" w:lineRule="exac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详见“供应商须知前附表”。</w:t>
      </w:r>
    </w:p>
    <w:p w14:paraId="25BCCA40">
      <w:pPr>
        <w:ind w:firstLine="723"/>
        <w:rPr>
          <w:rFonts w:eastAsia="黑体"/>
          <w:b/>
          <w:color w:val="000000" w:themeColor="text1"/>
          <w:sz w:val="36"/>
          <w:szCs w:val="36"/>
          <w14:textFill>
            <w14:solidFill>
              <w14:schemeClr w14:val="tx1"/>
            </w14:solidFill>
          </w14:textFill>
        </w:rPr>
      </w:pPr>
      <w:r>
        <w:rPr>
          <w:rFonts w:eastAsia="黑体"/>
          <w:b/>
          <w:color w:val="000000" w:themeColor="text1"/>
          <w:sz w:val="36"/>
          <w:szCs w:val="36"/>
          <w14:textFill>
            <w14:solidFill>
              <w14:schemeClr w14:val="tx1"/>
            </w14:solidFill>
          </w14:textFill>
        </w:rPr>
        <w:br w:type="page"/>
      </w:r>
    </w:p>
    <w:bookmarkEnd w:id="21"/>
    <w:p w14:paraId="7A6F9DC0">
      <w:pPr>
        <w:pStyle w:val="2"/>
        <w:spacing w:line="400" w:lineRule="atLeast"/>
        <w:ind w:firstLine="0" w:firstLineChars="0"/>
        <w:jc w:val="center"/>
        <w:rPr>
          <w:rFonts w:ascii="Times New Roman" w:hAnsi="Times New Roman"/>
          <w:color w:val="000000" w:themeColor="text1"/>
          <w14:textFill>
            <w14:solidFill>
              <w14:schemeClr w14:val="tx1"/>
            </w14:solidFill>
          </w14:textFill>
        </w:rPr>
      </w:pPr>
      <w:bookmarkStart w:id="123" w:name="_Toc23622"/>
      <w:bookmarkStart w:id="124" w:name="_Toc12025630"/>
      <w:r>
        <w:rPr>
          <w:rFonts w:ascii="Times New Roman" w:hAnsi="Times New Roman"/>
          <w:color w:val="000000" w:themeColor="text1"/>
          <w14:textFill>
            <w14:solidFill>
              <w14:schemeClr w14:val="tx1"/>
            </w14:solidFill>
          </w14:textFill>
        </w:rPr>
        <w:t>第三章 评审办法</w:t>
      </w:r>
      <w:bookmarkEnd w:id="123"/>
      <w:bookmarkStart w:id="125" w:name="_Toc247085757"/>
      <w:bookmarkStart w:id="126" w:name="_Toc246996242"/>
      <w:bookmarkStart w:id="127" w:name="_Toc144974566"/>
      <w:bookmarkStart w:id="128" w:name="_Toc246996985"/>
      <w:bookmarkStart w:id="129" w:name="_Toc179632617"/>
      <w:bookmarkStart w:id="130" w:name="_Toc152045599"/>
      <w:bookmarkStart w:id="131" w:name="_Toc152042376"/>
    </w:p>
    <w:bookmarkEnd w:id="125"/>
    <w:bookmarkEnd w:id="126"/>
    <w:bookmarkEnd w:id="127"/>
    <w:bookmarkEnd w:id="128"/>
    <w:bookmarkEnd w:id="129"/>
    <w:bookmarkEnd w:id="130"/>
    <w:bookmarkEnd w:id="131"/>
    <w:p w14:paraId="258640F7">
      <w:pPr>
        <w:spacing w:after="100" w:afterAutospacing="1" w:line="400" w:lineRule="atLeast"/>
        <w:ind w:firstLine="480"/>
        <w:rPr>
          <w:color w:val="000000" w:themeColor="text1"/>
          <w:sz w:val="24"/>
          <w14:textFill>
            <w14:solidFill>
              <w14:schemeClr w14:val="tx1"/>
            </w14:solidFill>
          </w14:textFill>
        </w:rPr>
      </w:pPr>
      <w:bookmarkStart w:id="132" w:name="EBdd50372fb5f147338f0b3ac167590a20"/>
      <w:bookmarkEnd w:id="132"/>
    </w:p>
    <w:p w14:paraId="0BF44E0B">
      <w:pPr>
        <w:pStyle w:val="3"/>
      </w:pPr>
      <w:bookmarkStart w:id="133" w:name="_Toc746"/>
      <w:bookmarkStart w:id="134" w:name="_Toc247085758"/>
      <w:bookmarkStart w:id="135" w:name="_Toc520410622"/>
      <w:bookmarkStart w:id="136" w:name="_Toc354417665"/>
      <w:bookmarkStart w:id="137" w:name="_Toc144974567"/>
      <w:bookmarkStart w:id="138" w:name="_Toc246996986"/>
      <w:bookmarkStart w:id="139" w:name="_Toc152045600"/>
      <w:bookmarkStart w:id="140" w:name="_Toc179632618"/>
      <w:bookmarkStart w:id="141" w:name="_Toc475027990"/>
      <w:bookmarkStart w:id="142" w:name="_Toc152042377"/>
      <w:bookmarkStart w:id="143" w:name="_Toc246996243"/>
      <w:r>
        <w:t>一、评审方法</w:t>
      </w:r>
      <w:bookmarkEnd w:id="133"/>
      <w:bookmarkEnd w:id="134"/>
      <w:bookmarkEnd w:id="135"/>
      <w:bookmarkEnd w:id="136"/>
      <w:bookmarkEnd w:id="137"/>
      <w:bookmarkEnd w:id="138"/>
      <w:bookmarkEnd w:id="139"/>
      <w:bookmarkEnd w:id="140"/>
      <w:bookmarkEnd w:id="141"/>
      <w:bookmarkEnd w:id="142"/>
      <w:bookmarkEnd w:id="143"/>
    </w:p>
    <w:p w14:paraId="61448864">
      <w:pPr>
        <w:spacing w:line="360" w:lineRule="exact"/>
        <w:ind w:firstLine="422"/>
        <w:jc w:val="left"/>
        <w:rPr>
          <w:rFonts w:hint="eastAsia" w:eastAsiaTheme="minorEastAsia"/>
          <w:b/>
          <w:color w:val="000000" w:themeColor="text1"/>
          <w:szCs w:val="21"/>
          <w:lang w:eastAsia="zh-CN"/>
          <w14:textFill>
            <w14:solidFill>
              <w14:schemeClr w14:val="tx1"/>
            </w14:solidFill>
          </w14:textFill>
        </w:rPr>
      </w:pPr>
      <w:r>
        <w:rPr>
          <w:rFonts w:eastAsiaTheme="minorEastAsia"/>
          <w:b/>
          <w:color w:val="000000" w:themeColor="text1"/>
          <w:szCs w:val="21"/>
          <w14:textFill>
            <w14:solidFill>
              <w14:schemeClr w14:val="tx1"/>
            </w14:solidFill>
          </w14:textFill>
        </w:rPr>
        <w:t>本次评审采用经评审的最低价法，谈判评审小组对满足谈判文件实质要求的响应文件进行评审，按最终报价由低到高的顺序推荐成交候选人。</w:t>
      </w:r>
      <w:r>
        <w:rPr>
          <w:rFonts w:hint="eastAsia" w:eastAsiaTheme="minorEastAsia"/>
          <w:b/>
          <w:color w:val="000000" w:themeColor="text1"/>
          <w:szCs w:val="21"/>
          <w:lang w:eastAsia="zh-CN"/>
          <w14:textFill>
            <w14:solidFill>
              <w14:schemeClr w14:val="tx1"/>
            </w14:solidFill>
          </w14:textFill>
        </w:rPr>
        <w:t>报价相等的，由采购人自行决定。</w:t>
      </w:r>
    </w:p>
    <w:p w14:paraId="1920E133">
      <w:pPr>
        <w:pStyle w:val="3"/>
      </w:pPr>
      <w:bookmarkStart w:id="144" w:name="_Toc247085759"/>
      <w:bookmarkStart w:id="145" w:name="_Toc246996244"/>
      <w:bookmarkStart w:id="146" w:name="_Toc152042378"/>
      <w:bookmarkStart w:id="147" w:name="_Toc152045601"/>
      <w:bookmarkStart w:id="148" w:name="_Toc475027991"/>
      <w:bookmarkStart w:id="149" w:name="_Toc520410623"/>
      <w:bookmarkStart w:id="150" w:name="_Toc354417666"/>
      <w:bookmarkStart w:id="151" w:name="_Toc144974568"/>
      <w:bookmarkStart w:id="152" w:name="_Toc21159"/>
      <w:bookmarkStart w:id="153" w:name="_Toc179632619"/>
      <w:bookmarkStart w:id="154" w:name="_Toc246996987"/>
      <w:r>
        <w:t>二、评审标准</w:t>
      </w:r>
      <w:bookmarkEnd w:id="144"/>
      <w:bookmarkEnd w:id="145"/>
      <w:bookmarkEnd w:id="146"/>
      <w:bookmarkEnd w:id="147"/>
      <w:bookmarkEnd w:id="148"/>
      <w:bookmarkEnd w:id="149"/>
      <w:bookmarkEnd w:id="150"/>
      <w:bookmarkEnd w:id="151"/>
      <w:bookmarkEnd w:id="152"/>
      <w:bookmarkEnd w:id="153"/>
      <w:bookmarkEnd w:id="154"/>
    </w:p>
    <w:p w14:paraId="52292E2A">
      <w:pPr>
        <w:pStyle w:val="18"/>
        <w:spacing w:after="0"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bCs/>
          <w:szCs w:val="21"/>
        </w:rPr>
        <w:t>评审</w:t>
      </w:r>
      <w:r>
        <w:rPr>
          <w:b/>
          <w:bCs/>
          <w:szCs w:val="21"/>
        </w:rPr>
        <w:t>入围条件：</w:t>
      </w:r>
      <w:r>
        <w:rPr>
          <w:rFonts w:eastAsiaTheme="minorEastAsia"/>
          <w:b/>
          <w:color w:val="000000" w:themeColor="text1"/>
          <w:szCs w:val="21"/>
          <w14:textFill>
            <w14:solidFill>
              <w14:schemeClr w14:val="tx1"/>
            </w14:solidFill>
          </w14:textFill>
        </w:rPr>
        <w:t xml:space="preserve">供应商响应文件响应函中载明的报价高于采购人期望值的（采购人期望值=采购控制价* </w:t>
      </w:r>
      <w:r>
        <w:rPr>
          <w:rFonts w:hint="eastAsia" w:eastAsiaTheme="minorEastAsia"/>
          <w:b/>
          <w:color w:val="000000" w:themeColor="text1"/>
          <w:szCs w:val="21"/>
          <w14:textFill>
            <w14:solidFill>
              <w14:schemeClr w14:val="tx1"/>
            </w14:solidFill>
          </w14:textFill>
        </w:rPr>
        <w:t>100%</w:t>
      </w:r>
      <w:r>
        <w:rPr>
          <w:rFonts w:eastAsiaTheme="minorEastAsia"/>
          <w:b/>
          <w:color w:val="000000" w:themeColor="text1"/>
          <w:szCs w:val="21"/>
          <w14:textFill>
            <w14:solidFill>
              <w14:schemeClr w14:val="tx1"/>
            </w14:solidFill>
          </w14:textFill>
        </w:rPr>
        <w:t>），不再进行后续评审。</w:t>
      </w:r>
    </w:p>
    <w:bookmarkEnd w:id="124"/>
    <w:p w14:paraId="05368653">
      <w:pPr>
        <w:spacing w:line="360" w:lineRule="exact"/>
        <w:ind w:firstLine="422"/>
        <w:jc w:val="left"/>
        <w:rPr>
          <w:rFonts w:eastAsiaTheme="minorEastAsia"/>
          <w:b/>
          <w:color w:val="000000" w:themeColor="text1"/>
          <w:szCs w:val="21"/>
          <w14:textFill>
            <w14:solidFill>
              <w14:schemeClr w14:val="tx1"/>
            </w14:solidFill>
          </w14:textFill>
        </w:rPr>
      </w:pPr>
      <w:bookmarkStart w:id="155" w:name="_Toc520666374"/>
      <w:r>
        <w:rPr>
          <w:rFonts w:eastAsiaTheme="minorEastAsia"/>
          <w:b/>
          <w:color w:val="000000" w:themeColor="text1"/>
          <w:szCs w:val="21"/>
          <w14:textFill>
            <w14:solidFill>
              <w14:schemeClr w14:val="tx1"/>
            </w14:solidFill>
          </w14:textFill>
        </w:rPr>
        <w:t>2.1形式评审标准：</w:t>
      </w:r>
    </w:p>
    <w:p w14:paraId="7074640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2.1.1供应商名称：是否与营业执照、资质证书一致；</w:t>
      </w:r>
    </w:p>
    <w:p w14:paraId="4F10396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2.1.2响应函签字盖章：有法定代表人或授权委托人的签字或签章并加盖单位公章。</w:t>
      </w:r>
    </w:p>
    <w:p w14:paraId="7C69C59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2.1.3 响应文件及报价唯一：只能有一个响应文件及有效报价（谈判文件要求提交备选响应文件的除外）。</w:t>
      </w:r>
    </w:p>
    <w:p w14:paraId="31530FCB">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2.2资格评审标准：</w:t>
      </w:r>
    </w:p>
    <w:p w14:paraId="48B61EE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符合“竞争性谈判公告”第3条规定。</w:t>
      </w:r>
    </w:p>
    <w:p w14:paraId="575408F1">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2.3响应性评审标准：</w:t>
      </w:r>
    </w:p>
    <w:p w14:paraId="4A36FE4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2.3.1符合第二章“供应商须知前附表”内关于“采购范围”、“工期要求”、“质量要求”的规定。</w:t>
      </w:r>
    </w:p>
    <w:p w14:paraId="000C175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2.3.2其他要求：无本章第3.2.4条所列情形。</w:t>
      </w:r>
    </w:p>
    <w:p w14:paraId="681B51EA">
      <w:pPr>
        <w:pStyle w:val="3"/>
      </w:pPr>
      <w:bookmarkStart w:id="156" w:name="_Toc520410627"/>
      <w:bookmarkStart w:id="157" w:name="_Toc152045604"/>
      <w:bookmarkStart w:id="158" w:name="_Toc475027994"/>
      <w:bookmarkStart w:id="159" w:name="_Toc246996247"/>
      <w:bookmarkStart w:id="160" w:name="_Toc247085762"/>
      <w:bookmarkStart w:id="161" w:name="_Toc7571"/>
      <w:bookmarkStart w:id="162" w:name="_Toc179632622"/>
      <w:bookmarkStart w:id="163" w:name="_Toc354417669"/>
      <w:bookmarkStart w:id="164" w:name="_Toc152042381"/>
      <w:bookmarkStart w:id="165" w:name="_Toc246996990"/>
      <w:bookmarkStart w:id="166" w:name="_Toc144974571"/>
      <w:bookmarkStart w:id="167" w:name="_Toc12723"/>
      <w:r>
        <w:t>三、评审程序</w:t>
      </w:r>
      <w:bookmarkEnd w:id="156"/>
      <w:bookmarkEnd w:id="157"/>
      <w:bookmarkEnd w:id="158"/>
      <w:bookmarkEnd w:id="159"/>
      <w:bookmarkEnd w:id="160"/>
      <w:bookmarkEnd w:id="161"/>
      <w:bookmarkEnd w:id="162"/>
      <w:bookmarkEnd w:id="163"/>
      <w:bookmarkEnd w:id="164"/>
      <w:bookmarkEnd w:id="165"/>
      <w:bookmarkEnd w:id="166"/>
      <w:bookmarkEnd w:id="167"/>
    </w:p>
    <w:p w14:paraId="6BB776E3">
      <w:pPr>
        <w:spacing w:line="360" w:lineRule="exact"/>
        <w:ind w:firstLine="422"/>
        <w:jc w:val="left"/>
        <w:rPr>
          <w:rFonts w:eastAsiaTheme="minorEastAsia"/>
          <w:b/>
          <w:color w:val="000000" w:themeColor="text1"/>
          <w:szCs w:val="21"/>
          <w14:textFill>
            <w14:solidFill>
              <w14:schemeClr w14:val="tx1"/>
            </w14:solidFill>
          </w14:textFill>
        </w:rPr>
      </w:pPr>
      <w:bookmarkStart w:id="168" w:name="_Toc475027995"/>
      <w:bookmarkStart w:id="169" w:name="_Toc354417670"/>
      <w:bookmarkStart w:id="170" w:name="_Toc343525569"/>
      <w:bookmarkStart w:id="171" w:name="_Toc520410628"/>
      <w:r>
        <w:rPr>
          <w:rFonts w:eastAsiaTheme="minorEastAsia"/>
          <w:b/>
          <w:color w:val="000000" w:themeColor="text1"/>
          <w:szCs w:val="21"/>
          <w14:textFill>
            <w14:solidFill>
              <w14:schemeClr w14:val="tx1"/>
            </w14:solidFill>
          </w14:textFill>
        </w:rPr>
        <w:t>3.1评审准备</w:t>
      </w:r>
      <w:bookmarkEnd w:id="168"/>
      <w:bookmarkEnd w:id="169"/>
      <w:bookmarkEnd w:id="170"/>
      <w:bookmarkEnd w:id="171"/>
    </w:p>
    <w:p w14:paraId="5DB48C5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3.1.1谈判评审小组的组成及分工：谈判评审小组由徐圩新区评审专家库中随机抽取的评审专家组成。</w:t>
      </w:r>
    </w:p>
    <w:p w14:paraId="285F4CB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3.1.2</w:t>
      </w:r>
      <w:r>
        <w:rPr>
          <w:rFonts w:eastAsiaTheme="minorEastAsia"/>
          <w:color w:val="000000" w:themeColor="text1"/>
          <w:kern w:val="0"/>
          <w:szCs w:val="21"/>
          <w14:textFill>
            <w14:solidFill>
              <w14:schemeClr w14:val="tx1"/>
            </w14:solidFill>
          </w14:textFill>
        </w:rPr>
        <w:t>谈判评审小组成员首先推选一名谈判评审小组负责人，负责评审活动的组织领导工作</w:t>
      </w:r>
      <w:r>
        <w:rPr>
          <w:rFonts w:eastAsiaTheme="minorEastAsia"/>
          <w:color w:val="000000" w:themeColor="text1"/>
          <w:szCs w:val="21"/>
          <w14:textFill>
            <w14:solidFill>
              <w14:schemeClr w14:val="tx1"/>
            </w14:solidFill>
          </w14:textFill>
        </w:rPr>
        <w:t>，具有与谈判评审小组其他成员同等的表决权。</w:t>
      </w:r>
    </w:p>
    <w:p w14:paraId="1D1E3799">
      <w:pPr>
        <w:spacing w:line="360" w:lineRule="exact"/>
        <w:ind w:firstLine="420"/>
        <w:jc w:val="lef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3.1.3采购人或代理机构应向谈判评审小组提供评审所需的信息和数据。谈判评审小组负责人应组织谈判评审小组成员认真研究谈判文件，未在谈判文件中规定的标准和方法不得作为评审的依据。</w:t>
      </w:r>
      <w:bookmarkStart w:id="172" w:name="_Toc475027997"/>
      <w:bookmarkStart w:id="173" w:name="_Toc343525571"/>
      <w:bookmarkStart w:id="174" w:name="_Toc520410630"/>
      <w:bookmarkStart w:id="175" w:name="_Toc354417672"/>
    </w:p>
    <w:p w14:paraId="22E2C4F3">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3.2初步评审</w:t>
      </w:r>
      <w:bookmarkEnd w:id="172"/>
      <w:bookmarkEnd w:id="173"/>
      <w:bookmarkEnd w:id="174"/>
      <w:bookmarkEnd w:id="175"/>
    </w:p>
    <w:p w14:paraId="566A6792">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3.2.1形式性评审</w:t>
      </w:r>
    </w:p>
    <w:p w14:paraId="66F63167">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谈判评审小组根据本章第2.1.款列出的评审标准，有一项不符合评审标准的，作无效响应文件处理。</w:t>
      </w:r>
    </w:p>
    <w:p w14:paraId="5974D0A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3.2.2资格评审</w:t>
      </w:r>
    </w:p>
    <w:p w14:paraId="2455405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谈判评审小组根据本章第2.2款列出的评审标准，有一项不符合评审标准的，作无效响应文件处理。</w:t>
      </w:r>
    </w:p>
    <w:p w14:paraId="04A838D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3.2.3响应性评审</w:t>
      </w:r>
    </w:p>
    <w:p w14:paraId="2126E608">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谈判评审小组根据本章第2.3款列出的评审标准，有一项不符合评审标准的，作无效响应文件处理。</w:t>
      </w:r>
    </w:p>
    <w:p w14:paraId="1958D15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3.2.4供应商有以下情形之一的，其响应文件无效：</w:t>
      </w:r>
    </w:p>
    <w:p w14:paraId="34029DD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（1）响应文件中的响应函未加盖供应商的公章；</w:t>
      </w:r>
    </w:p>
    <w:p w14:paraId="5FA1B8B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（2）响应文件中的响应函无企业法定代表人（或企业法定代表人委托代理人）印章（或签字）的；</w:t>
      </w:r>
    </w:p>
    <w:p w14:paraId="37149F38">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（3）如响应函由企业法定代表人委托代理人加盖印章（或签字），企业法定代表人委托代理人没有合法、有效的委托书（原件）的；</w:t>
      </w:r>
    </w:p>
    <w:p w14:paraId="4C8429B6">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（4）供应商资格条件不符合国家有关规定或谈判文件资格要求的；</w:t>
      </w:r>
    </w:p>
    <w:p w14:paraId="322031C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（5）响应文件递交时供应商代表与响应文件中授权委托代表不是同一人的；</w:t>
      </w:r>
    </w:p>
    <w:p w14:paraId="70F59C3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（6）组成联合体参与谈判未提供联合体各方共同合作协议的；</w:t>
      </w:r>
    </w:p>
    <w:p w14:paraId="180D0E8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（7）在同一采购项目中，联合体成员以自己名义单独参加谈判或者参加其他联合体谈判的；</w:t>
      </w:r>
    </w:p>
    <w:p w14:paraId="30187A9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（8）报价低于工程成本或者高于采购文件设定的采购控制价；</w:t>
      </w:r>
    </w:p>
    <w:p w14:paraId="46460A1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（9）同一供应商提交两个及以上不同的响应文件或者报价，但采购文件要求提交备选响应文件的除外；</w:t>
      </w:r>
    </w:p>
    <w:p w14:paraId="5DD7CE2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（10）响应文件中已标价工程量清单与谈判文件规定的暂估价、暂列金额及甲供材料价格不一致的；</w:t>
      </w:r>
    </w:p>
    <w:p w14:paraId="6163CFC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（11）响应文件中已标价工程量清单与谈判文件明确列出的不可竞争费用项目或费率或计算基础不一致的；</w:t>
      </w:r>
    </w:p>
    <w:p w14:paraId="180E56E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（12）响应文件的已标价工程量清单与谈判文件提供的工程量清单中的项目编码、项目名称、项目特征、计量单位、工程量不一致的；</w:t>
      </w:r>
    </w:p>
    <w:p w14:paraId="23DE13D7">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（13）未按谈判文件要求提供谈判保证金的</w:t>
      </w:r>
      <w:r>
        <w:rPr>
          <w:rFonts w:hint="eastAsia" w:eastAsiaTheme="minorEastAsia"/>
          <w:color w:val="000000" w:themeColor="text1"/>
          <w:szCs w:val="21"/>
          <w14:textFill>
            <w14:solidFill>
              <w14:schemeClr w14:val="tx1"/>
            </w14:solidFill>
          </w14:textFill>
        </w:rPr>
        <w:t>（若有）</w:t>
      </w:r>
      <w:r>
        <w:rPr>
          <w:rFonts w:eastAsiaTheme="minorEastAsia"/>
          <w:color w:val="000000" w:themeColor="text1"/>
          <w:szCs w:val="21"/>
          <w14:textFill>
            <w14:solidFill>
              <w14:schemeClr w14:val="tx1"/>
            </w14:solidFill>
          </w14:textFill>
        </w:rPr>
        <w:t>；</w:t>
      </w:r>
    </w:p>
    <w:p w14:paraId="1653CD8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（14）响应文件载明的采购项目完成期限超过谈判文件规定的期限的；</w:t>
      </w:r>
    </w:p>
    <w:p w14:paraId="2793126C">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（15）明显不符合技术规范、技术标准的要求或未响应谈判文件推荐材料设备品牌的；</w:t>
      </w:r>
    </w:p>
    <w:p w14:paraId="38048E0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（16）响应文件载明的货物包装方式、检验标准和方法等不符合谈判文件的要求的；</w:t>
      </w:r>
    </w:p>
    <w:p w14:paraId="16601BE7">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（17）响应文件提出了不能满足谈判文件要求或采购人不能接受的工程验收、计量、价款结算和支付办法的；</w:t>
      </w:r>
    </w:p>
    <w:p w14:paraId="77E7A1C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（18）未按谈判文件要求提供电子响应文件，或者响应文件未能解密的；</w:t>
      </w:r>
    </w:p>
    <w:p w14:paraId="6390B5DF">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（19）不同供应商的响应文件以及响应文件制作过程出现了评审小组认为不应当雷同的情况的；</w:t>
      </w:r>
    </w:p>
    <w:p w14:paraId="7D364D62">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（20）以他人的名义参与谈判、串通参与谈判、以行贿手段谋取成交或者以其他弄虚作假方式参与谈判的。</w:t>
      </w:r>
    </w:p>
    <w:p w14:paraId="008DF564">
      <w:pPr>
        <w:spacing w:line="360" w:lineRule="exact"/>
        <w:ind w:firstLine="420"/>
        <w:jc w:val="left"/>
        <w:rPr>
          <w:szCs w:val="21"/>
        </w:rPr>
      </w:pPr>
      <w:r>
        <w:rPr>
          <w:rFonts w:eastAsiaTheme="minorEastAsia"/>
          <w:szCs w:val="21"/>
        </w:rPr>
        <w:t>（21）</w:t>
      </w:r>
      <w:r>
        <w:rPr>
          <w:szCs w:val="21"/>
        </w:rPr>
        <w:t>不同供应商从同一个供应商单位或者同一个自然人的互联网协议地址下载谈判文件、上传响应文件且未按要求提供或提供的证据不能充分证明其未参与恶意串通。</w:t>
      </w:r>
    </w:p>
    <w:p w14:paraId="083FDE44">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（22）响应文件关键内容模糊、无法辨认的。</w:t>
      </w:r>
    </w:p>
    <w:p w14:paraId="75717FB5">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（23）响应文件中未按要求提供品牌响应承诺书的.</w:t>
      </w:r>
    </w:p>
    <w:p w14:paraId="6BAA8E68">
      <w:pPr>
        <w:spacing w:line="360" w:lineRule="exact"/>
        <w:ind w:firstLine="422"/>
        <w:jc w:val="left"/>
        <w:rPr>
          <w:rFonts w:eastAsiaTheme="minorEastAsia"/>
          <w:color w:val="000000" w:themeColor="text1"/>
          <w:szCs w:val="21"/>
          <w:highlight w:val="yellow"/>
          <w14:textFill>
            <w14:solidFill>
              <w14:schemeClr w14:val="tx1"/>
            </w14:solidFill>
          </w14:textFill>
        </w:rPr>
      </w:pPr>
      <w:r>
        <w:rPr>
          <w:rFonts w:eastAsiaTheme="minorEastAsia"/>
          <w:b/>
          <w:bCs/>
          <w:color w:val="000000" w:themeColor="text1"/>
          <w:szCs w:val="21"/>
          <w14:textFill>
            <w14:solidFill>
              <w14:schemeClr w14:val="tx1"/>
            </w14:solidFill>
          </w14:textFill>
        </w:rPr>
        <w:t>（24）报价明显低于其他通过符合性审查供应商的报价，被评审委员会认为供应商的有可能影响产品质量或者不能诚信履约的，且供应商不能证明其报价合理性（在评审现场合理的时间内提供书面说明或提交相关证明材料）的。</w:t>
      </w:r>
    </w:p>
    <w:p w14:paraId="6410944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文件未明列的无效条款，不得作为否决响应文件、判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65F92DEB">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谈判评审小组应当依据谈判文件的规定认定重大偏差，谈判文件未列明的无效响应文件条款，不得作为否决参与谈判、判定无效响应文件的依据。</w:t>
      </w:r>
    </w:p>
    <w:p w14:paraId="0185218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3.2.5属于下列情况之一的为细微偏差，细微偏差是指响应文件在实质上响应谈判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6A6ED71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（1）谈判文件未规定作为重大偏差的，一律为细微偏差；</w:t>
      </w:r>
    </w:p>
    <w:p w14:paraId="48B93BD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（2）对谈判文件中含义不明确、对同类问题表述不一致或者明显的文字错误，谈判评审小组应当在澄清的基础上按照事实求是地反映响应件实质性内容和尽量减少无效响应文件的原则进行补正。</w:t>
      </w:r>
    </w:p>
    <w:p w14:paraId="56C46233">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19786209">
      <w:pPr>
        <w:spacing w:line="360" w:lineRule="exact"/>
        <w:ind w:firstLine="422"/>
        <w:jc w:val="left"/>
        <w:rPr>
          <w:rFonts w:eastAsiaTheme="minorEastAsia"/>
          <w:b/>
          <w:color w:val="000000" w:themeColor="text1"/>
          <w:szCs w:val="21"/>
          <w14:textFill>
            <w14:solidFill>
              <w14:schemeClr w14:val="tx1"/>
            </w14:solidFill>
          </w14:textFill>
        </w:rPr>
      </w:pPr>
      <w:bookmarkStart w:id="176" w:name="_Toc520410632"/>
      <w:bookmarkStart w:id="177" w:name="_Toc354417674"/>
      <w:bookmarkStart w:id="178" w:name="_Toc475027999"/>
      <w:bookmarkStart w:id="179" w:name="_Toc342467878"/>
      <w:r>
        <w:rPr>
          <w:rFonts w:eastAsiaTheme="minorEastAsia"/>
          <w:b/>
          <w:color w:val="000000" w:themeColor="text1"/>
          <w:szCs w:val="21"/>
          <w14:textFill>
            <w14:solidFill>
              <w14:schemeClr w14:val="tx1"/>
            </w14:solidFill>
          </w14:textFill>
        </w:rPr>
        <w:t>3.3响应文件的澄清和补正</w:t>
      </w:r>
      <w:bookmarkEnd w:id="176"/>
      <w:bookmarkEnd w:id="177"/>
      <w:bookmarkEnd w:id="178"/>
      <w:bookmarkEnd w:id="179"/>
    </w:p>
    <w:p w14:paraId="6DF85851">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3.3.1在评审过程中，谈判评审小组应当以书面形式要求供应商对所提交的响应文件中不明确的内容进行书面澄清或说明。谈判评审小组不接受供应商主动提出的澄清、说明或补正。</w:t>
      </w:r>
    </w:p>
    <w:p w14:paraId="22B879C0">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3.3.2 澄清、说明和补正不得改变响应文件的实质性内容。供应商的书面澄清、说明和补正属于响应文件的组成部分。</w:t>
      </w:r>
    </w:p>
    <w:p w14:paraId="20355F5D">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3.3.3 谈判评审小组对供应商提交的澄清、说明或补正有疑问的，可以要求供应商进一步澄清、说明或补正，直至满足谈判评审小组的要求。</w:t>
      </w:r>
    </w:p>
    <w:p w14:paraId="3CD075A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3.3.4 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23BCB0CC">
      <w:pPr>
        <w:spacing w:line="360" w:lineRule="exact"/>
        <w:ind w:firstLine="422"/>
        <w:jc w:val="left"/>
        <w:rPr>
          <w:rFonts w:eastAsiaTheme="minorEastAsia"/>
          <w:b/>
          <w:color w:val="000000" w:themeColor="text1"/>
          <w:szCs w:val="21"/>
          <w14:textFill>
            <w14:solidFill>
              <w14:schemeClr w14:val="tx1"/>
            </w14:solidFill>
          </w14:textFill>
        </w:rPr>
      </w:pPr>
      <w:bookmarkStart w:id="180" w:name="_Toc520410633"/>
      <w:bookmarkStart w:id="181" w:name="_Toc475028000"/>
      <w:bookmarkStart w:id="182" w:name="_Toc354417675"/>
      <w:r>
        <w:rPr>
          <w:rFonts w:eastAsiaTheme="minorEastAsia"/>
          <w:b/>
          <w:color w:val="000000" w:themeColor="text1"/>
          <w:szCs w:val="21"/>
          <w14:textFill>
            <w14:solidFill>
              <w14:schemeClr w14:val="tx1"/>
            </w14:solidFill>
          </w14:textFill>
        </w:rPr>
        <w:t>3.4推荐成交候选人</w:t>
      </w:r>
      <w:bookmarkEnd w:id="180"/>
      <w:bookmarkEnd w:id="181"/>
      <w:bookmarkEnd w:id="182"/>
    </w:p>
    <w:p w14:paraId="1E1CC8F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谈判评审小组在推荐成交候选人时，应遵照以下原则:</w:t>
      </w:r>
    </w:p>
    <w:p w14:paraId="6F27119E">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3.4.1谈判评审小组按照最终报价由低至高的次序排列，推荐1-3名成交候选人。</w:t>
      </w:r>
    </w:p>
    <w:p w14:paraId="5AECEF54">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3.4.2当供应商最终谈判报价均不被采购人接受时，谈判失败，由采购人重新组织采购。</w:t>
      </w:r>
    </w:p>
    <w:p w14:paraId="3D89665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3.4.3当所有报价均与最高限价异常接近，经谈判评审小组认定明显缺乏竞争性时，谈判评审小组可以否决所有响应文件，由采购人重新组织采购。</w:t>
      </w:r>
    </w:p>
    <w:p w14:paraId="7069E3F9">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3.4.4如果谈判评审小组根据本章的规定作响应文件无效处理后，有效响应文件不足三个，谈判评审小组应当对有效响应文件是否仍具有竞争性进行评审，竞争性需要从有效投标人的实施方案能否满足招标项目要求，包括投标报价、设计方案、施工组织设计、设备响应参数、售后服务、项目人员、商务响应、技术响应、质量保证、工艺条件、实质性响应等等。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72C1DF4A">
      <w:pPr>
        <w:spacing w:line="360" w:lineRule="exact"/>
        <w:ind w:firstLine="422"/>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3.4.5对于一次公告有效标数不足3家供应商谈判且经评审认定的具备竞争性，可优先组织已递交响应文件的供应商进行竞争性谈判或磋商，经谈判小组评审后推荐成交供应商。</w:t>
      </w:r>
    </w:p>
    <w:p w14:paraId="594069DA">
      <w:pP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3.4.6 谈判评审小组完成评审后，应当向采购人提交评审报告。</w:t>
      </w:r>
    </w:p>
    <w:p w14:paraId="0DC37AA2">
      <w:pP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3.5 不平衡报价处理</w:t>
      </w:r>
    </w:p>
    <w:p w14:paraId="24A56477">
      <w:pPr>
        <w:spacing w:line="360" w:lineRule="exact"/>
        <w:ind w:firstLine="422"/>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供应商成交后，采购人与成交人签订合同前，将对成交人的清单中的相应单价进行平衡性审查，并保留对不平衡单价进行调整的权利，调整的原则是投标总价不变，单价调整。其中，量化不平衡报价的标准为成交人子目单价超过基准单价±15%的，供应商须将对应子目单价调整至合理单价，对应子目调整合理单价后无法调至投标总价时，所有子目单价统一比例调整至投标总价。基准单价=（1-成交人投标下浮率）×采购人内部签批控制价子目单价×50%+各供应商子目平均单价×50%。</w:t>
      </w:r>
    </w:p>
    <w:p w14:paraId="65804F52">
      <w:pPr>
        <w:ind w:firstLine="964"/>
        <w:rPr>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br w:type="page"/>
      </w:r>
    </w:p>
    <w:p w14:paraId="1317747F">
      <w:pPr>
        <w:spacing w:line="240" w:lineRule="auto"/>
        <w:ind w:firstLine="0" w:firstLineChars="0"/>
        <w:jc w:val="center"/>
        <w:outlineLvl w:val="0"/>
        <w:rPr>
          <w:b/>
          <w:bCs/>
          <w:color w:val="000000" w:themeColor="text1"/>
          <w:sz w:val="48"/>
          <w:szCs w:val="48"/>
          <w14:textFill>
            <w14:solidFill>
              <w14:schemeClr w14:val="tx1"/>
            </w14:solidFill>
          </w14:textFill>
        </w:rPr>
      </w:pPr>
      <w:bookmarkStart w:id="183" w:name="_Toc24763"/>
      <w:r>
        <w:rPr>
          <w:b/>
          <w:bCs/>
          <w:color w:val="000000" w:themeColor="text1"/>
          <w:sz w:val="48"/>
          <w:szCs w:val="48"/>
          <w14:textFill>
            <w14:solidFill>
              <w14:schemeClr w14:val="tx1"/>
            </w14:solidFill>
          </w14:textFill>
        </w:rPr>
        <w:t>第四章 合同条款及格式</w:t>
      </w:r>
      <w:bookmarkEnd w:id="155"/>
      <w:bookmarkEnd w:id="183"/>
    </w:p>
    <w:p w14:paraId="1928DD25">
      <w:pPr>
        <w:ind w:firstLine="883"/>
        <w:jc w:val="center"/>
        <w:rPr>
          <w:rFonts w:eastAsia="黑体"/>
          <w:b/>
          <w:bCs/>
          <w:sz w:val="44"/>
          <w:szCs w:val="44"/>
        </w:rPr>
      </w:pPr>
      <w:bookmarkStart w:id="184" w:name="_Toc12025631"/>
    </w:p>
    <w:p w14:paraId="0260166E">
      <w:pPr>
        <w:autoSpaceDE w:val="0"/>
        <w:autoSpaceDN w:val="0"/>
        <w:adjustRightInd w:val="0"/>
        <w:spacing w:before="100" w:after="100" w:line="500" w:lineRule="exact"/>
        <w:ind w:firstLine="480"/>
        <w:jc w:val="left"/>
        <w:rPr>
          <w:bCs/>
          <w:kern w:val="0"/>
          <w:sz w:val="24"/>
          <w:szCs w:val="16"/>
        </w:rPr>
      </w:pPr>
      <w:bookmarkStart w:id="185" w:name="_Toc358569763"/>
      <w:bookmarkStart w:id="186" w:name="_Toc6680"/>
    </w:p>
    <w:p w14:paraId="1D78A481">
      <w:pPr>
        <w:autoSpaceDE w:val="0"/>
        <w:autoSpaceDN w:val="0"/>
        <w:adjustRightInd w:val="0"/>
        <w:spacing w:before="100" w:after="100" w:line="500" w:lineRule="exact"/>
        <w:ind w:firstLine="480"/>
        <w:jc w:val="left"/>
        <w:rPr>
          <w:b/>
          <w:bCs/>
          <w:sz w:val="28"/>
          <w:szCs w:val="28"/>
        </w:rPr>
      </w:pPr>
      <w:r>
        <w:rPr>
          <w:bCs/>
          <w:kern w:val="0"/>
          <w:sz w:val="24"/>
          <w:szCs w:val="16"/>
        </w:rPr>
        <w:t>合同编号：</w:t>
      </w:r>
    </w:p>
    <w:p w14:paraId="78E1E2DF">
      <w:pPr>
        <w:autoSpaceDE w:val="0"/>
        <w:autoSpaceDN w:val="0"/>
        <w:adjustRightInd w:val="0"/>
        <w:spacing w:before="100" w:after="100" w:line="500" w:lineRule="exact"/>
        <w:ind w:firstLine="562"/>
        <w:jc w:val="left"/>
        <w:rPr>
          <w:b/>
          <w:bCs/>
          <w:sz w:val="28"/>
          <w:szCs w:val="28"/>
        </w:rPr>
      </w:pPr>
    </w:p>
    <w:p w14:paraId="3212E5C1">
      <w:pPr>
        <w:spacing w:line="240" w:lineRule="auto"/>
        <w:ind w:firstLine="0" w:firstLineChars="0"/>
        <w:jc w:val="center"/>
        <w:rPr>
          <w:bCs/>
          <w:sz w:val="48"/>
          <w:szCs w:val="48"/>
        </w:rPr>
      </w:pPr>
    </w:p>
    <w:p w14:paraId="32AC1098">
      <w:pPr>
        <w:spacing w:line="240" w:lineRule="auto"/>
        <w:ind w:firstLine="960"/>
        <w:jc w:val="center"/>
        <w:rPr>
          <w:bCs/>
          <w:sz w:val="48"/>
          <w:szCs w:val="48"/>
        </w:rPr>
      </w:pPr>
    </w:p>
    <w:p w14:paraId="5DB15218">
      <w:pPr>
        <w:spacing w:line="240" w:lineRule="auto"/>
        <w:ind w:firstLine="960"/>
        <w:jc w:val="center"/>
        <w:rPr>
          <w:bCs/>
          <w:sz w:val="48"/>
          <w:szCs w:val="48"/>
        </w:rPr>
      </w:pPr>
    </w:p>
    <w:p w14:paraId="0A2ECEA4">
      <w:pPr>
        <w:spacing w:line="240" w:lineRule="auto"/>
        <w:ind w:firstLine="0" w:firstLineChars="0"/>
        <w:jc w:val="center"/>
        <w:rPr>
          <w:b/>
          <w:sz w:val="44"/>
        </w:rPr>
      </w:pPr>
      <w:r>
        <w:rPr>
          <w:bCs/>
          <w:sz w:val="48"/>
          <w:szCs w:val="48"/>
        </w:rPr>
        <w:t>采购合同</w:t>
      </w:r>
    </w:p>
    <w:p w14:paraId="6DD10C4E">
      <w:pPr>
        <w:spacing w:line="240" w:lineRule="auto"/>
        <w:ind w:firstLine="883"/>
        <w:jc w:val="center"/>
        <w:rPr>
          <w:b/>
          <w:sz w:val="44"/>
        </w:rPr>
      </w:pPr>
    </w:p>
    <w:p w14:paraId="59EEB935">
      <w:pPr>
        <w:spacing w:line="240" w:lineRule="auto"/>
        <w:ind w:firstLine="883"/>
        <w:jc w:val="center"/>
        <w:rPr>
          <w:b/>
          <w:sz w:val="44"/>
        </w:rPr>
      </w:pPr>
    </w:p>
    <w:p w14:paraId="31FB29AB">
      <w:pPr>
        <w:spacing w:line="240" w:lineRule="auto"/>
        <w:ind w:firstLine="883"/>
        <w:jc w:val="center"/>
        <w:rPr>
          <w:b/>
          <w:sz w:val="44"/>
        </w:rPr>
      </w:pPr>
    </w:p>
    <w:p w14:paraId="25DEE5DB">
      <w:pPr>
        <w:spacing w:line="240" w:lineRule="auto"/>
        <w:ind w:firstLine="883"/>
        <w:jc w:val="center"/>
        <w:rPr>
          <w:b/>
          <w:sz w:val="44"/>
        </w:rPr>
      </w:pPr>
    </w:p>
    <w:p w14:paraId="47AF8DD2">
      <w:pPr>
        <w:spacing w:line="240" w:lineRule="auto"/>
        <w:ind w:firstLine="883"/>
        <w:jc w:val="center"/>
        <w:rPr>
          <w:b/>
          <w:sz w:val="44"/>
        </w:rPr>
      </w:pPr>
    </w:p>
    <w:p w14:paraId="17F27400">
      <w:pPr>
        <w:spacing w:line="240" w:lineRule="auto"/>
        <w:ind w:firstLine="883"/>
        <w:jc w:val="center"/>
        <w:rPr>
          <w:b/>
          <w:sz w:val="44"/>
        </w:rPr>
      </w:pPr>
    </w:p>
    <w:p w14:paraId="548863A2">
      <w:pPr>
        <w:spacing w:line="240" w:lineRule="auto"/>
        <w:ind w:firstLine="883"/>
        <w:jc w:val="center"/>
        <w:rPr>
          <w:b/>
          <w:sz w:val="44"/>
        </w:rPr>
      </w:pPr>
    </w:p>
    <w:p w14:paraId="39200BD2">
      <w:pPr>
        <w:spacing w:line="240" w:lineRule="auto"/>
        <w:ind w:firstLine="883"/>
        <w:jc w:val="center"/>
        <w:rPr>
          <w:b/>
          <w:sz w:val="44"/>
        </w:rPr>
      </w:pPr>
    </w:p>
    <w:p w14:paraId="3FB4FE4C">
      <w:pPr>
        <w:spacing w:line="360" w:lineRule="auto"/>
        <w:ind w:left="2238" w:leftChars="304" w:hanging="1600" w:hangingChars="500"/>
        <w:rPr>
          <w:bCs/>
          <w:sz w:val="32"/>
          <w:u w:val="single"/>
        </w:rPr>
      </w:pPr>
      <w:r>
        <w:rPr>
          <w:bCs/>
          <w:sz w:val="32"/>
        </w:rPr>
        <w:t>项目名称：</w:t>
      </w:r>
      <w:r>
        <w:rPr>
          <w:rFonts w:hint="eastAsia"/>
          <w:bCs/>
          <w:sz w:val="32"/>
          <w:u w:val="single"/>
          <w:lang w:eastAsia="zh-CN"/>
        </w:rPr>
        <w:t>徐圩新区增量配电网输配电线路防外破改造施工回流线采购</w:t>
      </w:r>
      <w:r>
        <w:rPr>
          <w:bCs/>
          <w:sz w:val="32"/>
          <w:u w:val="single"/>
        </w:rPr>
        <w:t xml:space="preserve">                                 </w:t>
      </w:r>
    </w:p>
    <w:p w14:paraId="4F7D6EAD">
      <w:pPr>
        <w:spacing w:line="360" w:lineRule="auto"/>
        <w:ind w:firstLine="640"/>
        <w:rPr>
          <w:bCs/>
          <w:sz w:val="32"/>
        </w:rPr>
      </w:pPr>
      <w:r>
        <w:rPr>
          <w:bCs/>
          <w:sz w:val="32"/>
        </w:rPr>
        <w:t>甲    方：</w:t>
      </w:r>
      <w:r>
        <w:rPr>
          <w:bCs/>
          <w:sz w:val="32"/>
          <w:u w:val="single"/>
        </w:rPr>
        <w:t xml:space="preserve">江苏方洋能源科技有限公司                 </w:t>
      </w:r>
    </w:p>
    <w:p w14:paraId="0E189F27">
      <w:pPr>
        <w:spacing w:line="360" w:lineRule="auto"/>
        <w:ind w:firstLine="640"/>
        <w:rPr>
          <w:bCs/>
          <w:sz w:val="32"/>
          <w:u w:val="single"/>
        </w:rPr>
      </w:pPr>
      <w:r>
        <w:rPr>
          <w:bCs/>
          <w:sz w:val="32"/>
        </w:rPr>
        <w:t>乙    方：</w:t>
      </w:r>
      <w:r>
        <w:rPr>
          <w:bCs/>
          <w:sz w:val="32"/>
          <w:u w:val="single"/>
        </w:rPr>
        <w:t xml:space="preserve">                                         </w:t>
      </w:r>
    </w:p>
    <w:p w14:paraId="4FF9BDF8">
      <w:pPr>
        <w:spacing w:line="240" w:lineRule="auto"/>
        <w:ind w:firstLine="0" w:firstLineChars="0"/>
        <w:jc w:val="center"/>
        <w:rPr>
          <w:szCs w:val="21"/>
        </w:rPr>
      </w:pPr>
      <w:r>
        <w:rPr>
          <w:szCs w:val="21"/>
        </w:rPr>
        <w:br w:type="page"/>
      </w:r>
      <w:bookmarkStart w:id="187" w:name="_Toc12894"/>
      <w:bookmarkStart w:id="188" w:name="_Toc94"/>
    </w:p>
    <w:bookmarkEnd w:id="187"/>
    <w:bookmarkEnd w:id="188"/>
    <w:p w14:paraId="66F569C1">
      <w:pPr>
        <w:spacing w:line="360" w:lineRule="auto"/>
        <w:ind w:firstLine="0" w:firstLineChars="0"/>
        <w:jc w:val="center"/>
        <w:rPr>
          <w:rFonts w:hint="eastAsia" w:eastAsia="宋体"/>
          <w:lang w:eastAsia="zh-CN"/>
        </w:rPr>
      </w:pPr>
      <w:r>
        <w:rPr>
          <w:rFonts w:hint="eastAsia"/>
          <w:bCs/>
          <w:sz w:val="32"/>
          <w:szCs w:val="32"/>
          <w:lang w:eastAsia="zh-CN"/>
        </w:rPr>
        <w:t>徐圩新区增量配电网输配电线路防外破改造施工回流线采购</w:t>
      </w:r>
    </w:p>
    <w:p w14:paraId="200C06CE">
      <w:pPr>
        <w:spacing w:line="336" w:lineRule="auto"/>
        <w:ind w:firstLine="0" w:firstLineChars="0"/>
        <w:jc w:val="left"/>
        <w:rPr>
          <w:szCs w:val="21"/>
        </w:rPr>
      </w:pPr>
      <w:r>
        <w:rPr>
          <w:szCs w:val="21"/>
        </w:rPr>
        <w:t>甲方：（买方）</w:t>
      </w:r>
      <w:r>
        <w:rPr>
          <w:szCs w:val="21"/>
          <w:u w:val="single"/>
        </w:rPr>
        <w:t>江苏方洋能源科技有限公司</w:t>
      </w:r>
    </w:p>
    <w:p w14:paraId="41351A50">
      <w:pPr>
        <w:spacing w:line="336" w:lineRule="auto"/>
        <w:ind w:firstLine="0" w:firstLineChars="0"/>
        <w:jc w:val="left"/>
        <w:rPr>
          <w:szCs w:val="21"/>
          <w:u w:val="single"/>
        </w:rPr>
      </w:pPr>
      <w:r>
        <w:rPr>
          <w:szCs w:val="21"/>
        </w:rPr>
        <w:t>乙方：（卖方）</w:t>
      </w:r>
      <w:r>
        <w:rPr>
          <w:szCs w:val="21"/>
          <w:u w:val="single"/>
        </w:rPr>
        <w:t xml:space="preserve">                        </w:t>
      </w:r>
    </w:p>
    <w:p w14:paraId="19EC2C58">
      <w:pPr>
        <w:spacing w:line="336" w:lineRule="auto"/>
        <w:ind w:firstLine="420"/>
        <w:jc w:val="left"/>
        <w:rPr>
          <w:b/>
          <w:kern w:val="0"/>
          <w:szCs w:val="21"/>
        </w:rPr>
      </w:pPr>
      <w:r>
        <w:rPr>
          <w:szCs w:val="21"/>
        </w:rPr>
        <w:t>甲、乙双方根据</w:t>
      </w:r>
      <w:r>
        <w:rPr>
          <w:rFonts w:hint="eastAsia"/>
          <w:b/>
          <w:bCs/>
          <w:szCs w:val="21"/>
          <w:u w:val="single"/>
          <w:lang w:eastAsia="zh-CN"/>
        </w:rPr>
        <w:t>徐圩新区增量配电网输配电线路防外破改造施工回流线采购</w:t>
      </w:r>
      <w:r>
        <w:rPr>
          <w:szCs w:val="21"/>
        </w:rPr>
        <w:t>竞争性谈判结果，甲方接受乙方为本项目所做的响应文件，乙方必须完全按采购文件、响应文件履行义务。甲乙双方同意签署本合同（以下简称合同）。</w:t>
      </w:r>
    </w:p>
    <w:p w14:paraId="32E53AEA">
      <w:pPr>
        <w:spacing w:line="336" w:lineRule="auto"/>
        <w:ind w:firstLine="0" w:firstLineChars="0"/>
        <w:rPr>
          <w:szCs w:val="21"/>
        </w:rPr>
      </w:pPr>
      <w:r>
        <w:rPr>
          <w:b/>
          <w:bCs/>
          <w:szCs w:val="21"/>
        </w:rPr>
        <w:t>一、货物明细及合同金额</w:t>
      </w:r>
    </w:p>
    <w:p w14:paraId="5703DFE9">
      <w:pPr>
        <w:spacing w:line="360" w:lineRule="auto"/>
        <w:ind w:firstLine="420"/>
        <w:rPr>
          <w:szCs w:val="21"/>
        </w:rPr>
      </w:pPr>
      <w:r>
        <w:rPr>
          <w:szCs w:val="21"/>
        </w:rPr>
        <w:t>1、本合同</w:t>
      </w:r>
      <w:r>
        <w:rPr>
          <w:rFonts w:hint="eastAsia"/>
          <w:szCs w:val="21"/>
        </w:rPr>
        <w:t>含税</w:t>
      </w:r>
      <w:r>
        <w:rPr>
          <w:szCs w:val="21"/>
        </w:rPr>
        <w:t>金额为（大写）：</w:t>
      </w:r>
      <w:r>
        <w:rPr>
          <w:szCs w:val="21"/>
          <w:u w:val="single"/>
        </w:rPr>
        <w:t xml:space="preserve">                </w:t>
      </w:r>
      <w:r>
        <w:rPr>
          <w:szCs w:val="21"/>
        </w:rPr>
        <w:t>（￥</w:t>
      </w:r>
      <w:r>
        <w:rPr>
          <w:szCs w:val="21"/>
          <w:u w:val="single"/>
        </w:rPr>
        <w:t xml:space="preserve">       </w:t>
      </w:r>
      <w:r>
        <w:rPr>
          <w:szCs w:val="21"/>
        </w:rPr>
        <w:t>元）人民币</w:t>
      </w:r>
      <w:r>
        <w:rPr>
          <w:rFonts w:hint="eastAsia"/>
          <w:szCs w:val="21"/>
        </w:rPr>
        <w:t>，不含税金额为</w:t>
      </w:r>
      <w:r>
        <w:rPr>
          <w:szCs w:val="21"/>
        </w:rPr>
        <w:t>（大写）：</w:t>
      </w:r>
      <w:r>
        <w:rPr>
          <w:szCs w:val="21"/>
          <w:u w:val="single"/>
        </w:rPr>
        <w:t xml:space="preserve">                </w:t>
      </w:r>
      <w:r>
        <w:rPr>
          <w:szCs w:val="21"/>
        </w:rPr>
        <w:t>（￥</w:t>
      </w:r>
      <w:r>
        <w:rPr>
          <w:szCs w:val="21"/>
          <w:u w:val="single"/>
        </w:rPr>
        <w:t xml:space="preserve">       </w:t>
      </w:r>
      <w:r>
        <w:rPr>
          <w:szCs w:val="21"/>
        </w:rPr>
        <w:t>元）人民币。</w:t>
      </w:r>
    </w:p>
    <w:p w14:paraId="0A564C8A">
      <w:pPr>
        <w:spacing w:before="240" w:line="360" w:lineRule="auto"/>
        <w:ind w:firstLine="440"/>
      </w:pPr>
      <w:r>
        <w:rPr>
          <w:sz w:val="22"/>
          <w:szCs w:val="28"/>
        </w:rPr>
        <w:t>合同价格形式：</w:t>
      </w:r>
      <w:r>
        <w:rPr>
          <w:sz w:val="22"/>
          <w:szCs w:val="28"/>
          <w:u w:val="single"/>
        </w:rPr>
        <w:t xml:space="preserve"> </w:t>
      </w:r>
      <w:r>
        <w:rPr>
          <w:b/>
          <w:bCs/>
          <w:sz w:val="22"/>
          <w:szCs w:val="28"/>
          <w:u w:val="single"/>
        </w:rPr>
        <w:t xml:space="preserve">固定单价 </w:t>
      </w:r>
      <w:r>
        <w:rPr>
          <w:sz w:val="22"/>
          <w:szCs w:val="28"/>
        </w:rPr>
        <w:t>合同。</w:t>
      </w:r>
    </w:p>
    <w:p w14:paraId="6FC7733A">
      <w:pPr>
        <w:pStyle w:val="16"/>
        <w:rPr>
          <w:rFonts w:hint="default" w:eastAsia="宋体"/>
          <w:lang w:val="en-US" w:eastAsia="zh-CN"/>
        </w:rPr>
      </w:pPr>
      <w:r>
        <w:rPr>
          <w:b/>
          <w:bCs/>
          <w:sz w:val="18"/>
          <w:szCs w:val="18"/>
        </w:rPr>
        <w:t xml:space="preserve"> </w:t>
      </w:r>
      <w:r>
        <w:rPr>
          <w:rFonts w:ascii="Times New Roman" w:hAnsi="Times New Roman" w:eastAsia="宋体" w:cs="Times New Roman"/>
          <w:kern w:val="2"/>
          <w:sz w:val="21"/>
          <w:szCs w:val="24"/>
          <w:lang w:val="en-US" w:eastAsia="zh-CN" w:bidi="ar-SA"/>
        </w:rPr>
        <w:t>注：若乙方存在招标文件中约定的不平衡报价情况，合同内相应清单单价为经过不平衡报价调价后单价；若乙方没有存在招标文件中约定的不平衡报价情况，则合同内清单单价=第一轮报价清单单价*最终报价</w:t>
      </w:r>
      <w:r>
        <w:rPr>
          <w:rFonts w:hint="eastAsia" w:ascii="Times New Roman" w:hAnsi="Times New Roman" w:eastAsia="宋体" w:cs="Times New Roman"/>
          <w:kern w:val="2"/>
          <w:sz w:val="21"/>
          <w:szCs w:val="24"/>
          <w:lang w:val="en-US" w:eastAsia="zh-CN" w:bidi="ar-SA"/>
        </w:rPr>
        <w:t>总价</w:t>
      </w:r>
      <w:r>
        <w:rPr>
          <w:rFonts w:ascii="Times New Roman" w:hAnsi="Times New Roman" w:eastAsia="宋体" w:cs="Times New Roman"/>
          <w:kern w:val="2"/>
          <w:sz w:val="21"/>
          <w:szCs w:val="24"/>
          <w:lang w:val="en-US" w:eastAsia="zh-CN" w:bidi="ar-SA"/>
        </w:rPr>
        <w:t>/第一轮报价</w:t>
      </w:r>
      <w:r>
        <w:rPr>
          <w:rFonts w:hint="eastAsia" w:ascii="Times New Roman" w:hAnsi="Times New Roman" w:eastAsia="宋体" w:cs="Times New Roman"/>
          <w:kern w:val="2"/>
          <w:sz w:val="21"/>
          <w:szCs w:val="24"/>
          <w:lang w:val="en-US" w:eastAsia="zh-CN" w:bidi="ar-SA"/>
        </w:rPr>
        <w:t>总价。</w:t>
      </w:r>
    </w:p>
    <w:p w14:paraId="65BC7AAF">
      <w:pPr>
        <w:spacing w:line="360" w:lineRule="auto"/>
        <w:ind w:firstLine="0" w:firstLineChars="0"/>
        <w:rPr>
          <w:b/>
          <w:bCs/>
          <w:sz w:val="18"/>
          <w:szCs w:val="18"/>
        </w:rPr>
      </w:pPr>
    </w:p>
    <w:p w14:paraId="3ACDAF45">
      <w:pPr>
        <w:spacing w:line="360" w:lineRule="auto"/>
        <w:ind w:firstLine="0" w:firstLineChars="0"/>
      </w:pPr>
      <w:r>
        <w:rPr>
          <w:szCs w:val="21"/>
        </w:rPr>
        <w:t>货物明细及单价如下：</w:t>
      </w:r>
    </w:p>
    <w:tbl>
      <w:tblPr>
        <w:tblStyle w:val="48"/>
        <w:tblW w:w="8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668"/>
        <w:gridCol w:w="2705"/>
        <w:gridCol w:w="645"/>
        <w:gridCol w:w="885"/>
        <w:gridCol w:w="1080"/>
        <w:gridCol w:w="1065"/>
        <w:gridCol w:w="825"/>
      </w:tblGrid>
      <w:tr w14:paraId="4673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82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4B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CF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901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65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33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0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B8E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15E1">
            <w:pPr>
              <w:jc w:val="center"/>
              <w:rPr>
                <w:rFonts w:hint="eastAsia" w:ascii="宋体" w:hAnsi="宋体" w:eastAsia="宋体" w:cs="宋体"/>
                <w:i w:val="0"/>
                <w:iCs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4875">
            <w:pPr>
              <w:jc w:val="center"/>
              <w:rPr>
                <w:rFonts w:hint="eastAsia" w:ascii="宋体" w:hAnsi="宋体" w:eastAsia="宋体" w:cs="宋体"/>
                <w:i w:val="0"/>
                <w:iCs w:val="0"/>
                <w:color w:val="000000"/>
                <w:sz w:val="20"/>
                <w:szCs w:val="20"/>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C145">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8AC2">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5DB1">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8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8D9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综合合价</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E778">
            <w:pPr>
              <w:jc w:val="center"/>
              <w:rPr>
                <w:rFonts w:hint="eastAsia" w:ascii="宋体" w:hAnsi="宋体" w:eastAsia="宋体" w:cs="宋体"/>
                <w:i w:val="0"/>
                <w:iCs w:val="0"/>
                <w:color w:val="000000"/>
                <w:sz w:val="20"/>
                <w:szCs w:val="20"/>
                <w:u w:val="none"/>
              </w:rPr>
            </w:pPr>
          </w:p>
        </w:tc>
      </w:tr>
      <w:tr w14:paraId="51D8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3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2C4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电缆</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6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1.名称：电缆</w:t>
            </w:r>
          </w:p>
          <w:p w14:paraId="209D54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2.规格:YJV-8.7/15-1*240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EAC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0AD4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6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B4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58DF">
            <w:pPr>
              <w:jc w:val="center"/>
              <w:rPr>
                <w:rFonts w:hint="eastAsia" w:ascii="宋体" w:hAnsi="宋体" w:eastAsia="宋体" w:cs="宋体"/>
                <w:i w:val="0"/>
                <w:iCs w:val="0"/>
                <w:color w:val="000000"/>
                <w:sz w:val="20"/>
                <w:szCs w:val="20"/>
                <w:u w:val="none"/>
              </w:rPr>
            </w:pPr>
          </w:p>
        </w:tc>
      </w:tr>
      <w:tr w14:paraId="1367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66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8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合计（元）：（含13%增值税）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4E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5E59">
            <w:pPr>
              <w:jc w:val="center"/>
              <w:rPr>
                <w:rFonts w:hint="eastAsia" w:ascii="宋体" w:hAnsi="宋体" w:eastAsia="宋体" w:cs="宋体"/>
                <w:b/>
                <w:bCs/>
                <w:i w:val="0"/>
                <w:iCs w:val="0"/>
                <w:color w:val="000000"/>
                <w:sz w:val="20"/>
                <w:szCs w:val="20"/>
                <w:u w:val="none"/>
              </w:rPr>
            </w:pPr>
          </w:p>
        </w:tc>
      </w:tr>
    </w:tbl>
    <w:p w14:paraId="2A26343F">
      <w:pPr>
        <w:spacing w:before="120" w:beforeLines="50" w:line="360" w:lineRule="auto"/>
        <w:ind w:firstLine="0" w:firstLineChars="0"/>
        <w:rPr>
          <w:b/>
          <w:bCs/>
          <w:szCs w:val="21"/>
        </w:rPr>
      </w:pPr>
    </w:p>
    <w:p w14:paraId="225BB0FE">
      <w:pPr>
        <w:spacing w:before="120" w:beforeLines="50" w:line="360" w:lineRule="auto"/>
        <w:ind w:firstLine="0" w:firstLineChars="0"/>
        <w:rPr>
          <w:b/>
          <w:bCs/>
          <w:szCs w:val="21"/>
        </w:rPr>
      </w:pPr>
      <w:r>
        <w:rPr>
          <w:b/>
          <w:bCs/>
          <w:szCs w:val="21"/>
        </w:rPr>
        <w:t>注：</w:t>
      </w:r>
    </w:p>
    <w:p w14:paraId="625E25AA">
      <w:pPr>
        <w:spacing w:line="360" w:lineRule="auto"/>
        <w:ind w:firstLine="420" w:firstLineChars="200"/>
        <w:rPr>
          <w:rFonts w:ascii="宋体" w:hAnsi="宋体" w:cs="宋体"/>
          <w:szCs w:val="21"/>
        </w:rPr>
      </w:pPr>
      <w:r>
        <w:rPr>
          <w:rFonts w:ascii="宋体" w:hAnsi="宋体" w:cs="宋体"/>
          <w:szCs w:val="21"/>
        </w:rPr>
        <w:t>1.提供产品必须全部符合现行国家标准及相应的产品质量标准要求。</w:t>
      </w:r>
    </w:p>
    <w:p w14:paraId="6E598D1D">
      <w:pPr>
        <w:spacing w:line="360" w:lineRule="auto"/>
        <w:ind w:firstLine="420"/>
        <w:rPr>
          <w:rFonts w:ascii="宋体" w:hAnsi="宋体" w:cs="宋体"/>
          <w:szCs w:val="21"/>
        </w:rPr>
      </w:pPr>
      <w:r>
        <w:rPr>
          <w:rFonts w:ascii="宋体" w:hAnsi="宋体" w:cs="宋体"/>
          <w:szCs w:val="21"/>
        </w:rPr>
        <w:t>2.价格内容与构成：本合同单价为在交货地点交货价，包含但不限于设计费、人工费、工具费、机械费、辅材费、间接费、材料费、各类材料</w:t>
      </w:r>
      <w:bookmarkStart w:id="271" w:name="_GoBack"/>
      <w:bookmarkEnd w:id="271"/>
      <w:r>
        <w:rPr>
          <w:rFonts w:ascii="宋体" w:hAnsi="宋体" w:cs="宋体"/>
          <w:szCs w:val="21"/>
        </w:rPr>
        <w:t>周转费、制作好的材料上车费、包装固定费、运输到甲方施工现场费、运输过程中保险费、乙方管理费、安全费、技术措施费、保管费、加班费、保险费、规费、财务费、风险费、利润、增值税税金等在内的所有费用，且包括甲方验收合格之前任何情况下所发生的人员伤亡和财产损失。即除此之外，甲方无需在本合同项下支付任何其他费用。</w:t>
      </w:r>
    </w:p>
    <w:p w14:paraId="538E6390">
      <w:pPr>
        <w:spacing w:line="360" w:lineRule="auto"/>
        <w:ind w:left="0" w:leftChars="0" w:firstLine="420" w:firstLineChars="200"/>
        <w:rPr>
          <w:rFonts w:hint="eastAsia" w:ascii="宋体" w:hAnsi="宋体" w:eastAsia="宋体" w:cs="宋体"/>
          <w:szCs w:val="21"/>
        </w:rPr>
      </w:pPr>
      <w:r>
        <w:rPr>
          <w:rFonts w:ascii="宋体" w:hAnsi="宋体" w:cs="宋体"/>
          <w:szCs w:val="21"/>
        </w:rPr>
        <w:t>3.</w:t>
      </w:r>
      <w:r>
        <w:rPr>
          <w:rFonts w:hint="eastAsia" w:ascii="宋体" w:hAnsi="宋体" w:cs="宋体"/>
          <w:szCs w:val="21"/>
        </w:rPr>
        <w:t>合同工程量仅作为暂定量，在不改变合同其他条款的前提下，甲方有权根据现场施工需要对工程量进行调整，乙方应根据甲方要求工程量进行供货</w:t>
      </w:r>
      <w:r>
        <w:rPr>
          <w:rFonts w:hint="eastAsia" w:ascii="宋体" w:hAnsi="宋体" w:eastAsia="宋体" w:cs="宋体"/>
          <w:szCs w:val="21"/>
        </w:rPr>
        <w:t>。</w:t>
      </w:r>
    </w:p>
    <w:p w14:paraId="4115A341">
      <w:pPr>
        <w:spacing w:line="360" w:lineRule="auto"/>
        <w:rPr>
          <w:rFonts w:hint="eastAsia" w:ascii="宋体" w:hAnsi="宋体" w:cs="宋体"/>
          <w:szCs w:val="21"/>
        </w:rPr>
      </w:pPr>
      <w:r>
        <w:rPr>
          <w:rFonts w:hint="eastAsia" w:ascii="宋体" w:hAnsi="宋体" w:cs="宋体"/>
          <w:szCs w:val="21"/>
        </w:rPr>
        <w:t>4.因乙方原因导致的电缆重复送检，重复送检产生的费用由乙方承担。</w:t>
      </w:r>
    </w:p>
    <w:p w14:paraId="658CF20F">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电缆单价计算方式：</w:t>
      </w:r>
    </w:p>
    <w:p w14:paraId="7932DACB">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（1）各参数约定如下：</w:t>
      </w:r>
    </w:p>
    <w:p w14:paraId="52B96AD8">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u w:val="none"/>
          <w:lang w:val="en-US" w:eastAsia="zh-CN"/>
        </w:rPr>
      </w:pPr>
      <w:r>
        <w:rPr>
          <w:rFonts w:hint="default" w:ascii="Times New Roman" w:hAnsi="Times New Roman" w:cs="Times New Roman"/>
          <w:b/>
          <w:bCs/>
          <w:color w:val="auto"/>
          <w:szCs w:val="21"/>
          <w:highlight w:val="none"/>
          <w:u w:val="none"/>
          <w:lang w:val="en-US" w:eastAsia="zh-CN"/>
        </w:rPr>
        <w:t>本合同签订的电缆综合单价为基准价—A</w:t>
      </w:r>
    </w:p>
    <w:p w14:paraId="3E5BB6AB">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u w:val="none"/>
          <w:lang w:val="en-US" w:eastAsia="zh-CN"/>
        </w:rPr>
      </w:pPr>
      <w:r>
        <w:rPr>
          <w:rFonts w:hint="eastAsia" w:ascii="Times New Roman" w:hAnsi="Times New Roman" w:cs="Times New Roman"/>
          <w:b/>
          <w:bCs/>
          <w:color w:val="auto"/>
          <w:szCs w:val="21"/>
          <w:highlight w:val="none"/>
          <w:u w:val="none"/>
          <w:lang w:val="en-US" w:eastAsia="zh-CN"/>
        </w:rPr>
        <w:t>谈判</w:t>
      </w:r>
      <w:r>
        <w:rPr>
          <w:rFonts w:hint="default" w:ascii="Times New Roman" w:hAnsi="Times New Roman" w:cs="Times New Roman"/>
          <w:b/>
          <w:bCs/>
          <w:color w:val="auto"/>
          <w:szCs w:val="21"/>
          <w:highlight w:val="none"/>
          <w:u w:val="none"/>
          <w:lang w:val="en-US" w:eastAsia="zh-CN"/>
        </w:rPr>
        <w:t>日</w:t>
      </w:r>
      <w:r>
        <w:rPr>
          <w:rFonts w:hint="default" w:ascii="Times New Roman" w:hAnsi="Times New Roman" w:cs="Times New Roman"/>
          <w:b/>
          <w:bCs/>
          <w:color w:val="auto"/>
          <w:szCs w:val="21"/>
          <w:highlight w:val="none"/>
          <w:u w:val="none"/>
        </w:rPr>
        <w:t>SMM 1#电解铜的价格</w:t>
      </w:r>
      <w:r>
        <w:rPr>
          <w:rFonts w:hint="default" w:ascii="Times New Roman" w:hAnsi="Times New Roman" w:cs="Times New Roman"/>
          <w:b/>
          <w:bCs/>
          <w:color w:val="auto"/>
          <w:szCs w:val="21"/>
          <w:highlight w:val="none"/>
          <w:u w:val="none"/>
          <w:lang w:val="en-US" w:eastAsia="zh-CN"/>
        </w:rPr>
        <w:t>—B</w:t>
      </w:r>
    </w:p>
    <w:p w14:paraId="5F3D3CFB">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采购订单下单当日</w:t>
      </w:r>
      <w:r>
        <w:rPr>
          <w:rFonts w:hint="default" w:ascii="Times New Roman" w:hAnsi="Times New Roman" w:cs="Times New Roman"/>
          <w:b/>
          <w:bCs/>
          <w:color w:val="auto"/>
          <w:szCs w:val="21"/>
          <w:highlight w:val="none"/>
        </w:rPr>
        <w:t>SMM 1#电解铜的价格</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C</w:t>
      </w:r>
    </w:p>
    <w:p w14:paraId="1834F7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采购订单下单的电缆单价—D</w:t>
      </w:r>
    </w:p>
    <w:p w14:paraId="0F07B8A2">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（2）采购订单单价计算方式：</w:t>
      </w:r>
    </w:p>
    <w:p w14:paraId="6E982CF9">
      <w:pPr>
        <w:pStyle w:val="47"/>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Cs w:val="21"/>
          <w:highlight w:val="none"/>
          <w:lang w:val="en-US" w:eastAsia="zh-CN"/>
        </w:rPr>
        <w:t>①</w:t>
      </w:r>
      <w:r>
        <w:rPr>
          <w:rFonts w:hint="eastAsia" w:ascii="宋体" w:hAnsi="宋体" w:cs="宋体"/>
          <w:color w:val="auto"/>
          <w:szCs w:val="21"/>
          <w:highlight w:val="none"/>
        </w:rPr>
        <w:t>价格浮动1000元/吨为一档，</w:t>
      </w:r>
      <w:r>
        <w:rPr>
          <w:rFonts w:hint="eastAsia" w:ascii="宋体" w:hAnsi="宋体" w:cs="宋体"/>
          <w:color w:val="auto"/>
          <w:szCs w:val="21"/>
          <w:highlight w:val="none"/>
          <w:lang w:val="en-US" w:eastAsia="zh-CN"/>
        </w:rPr>
        <w:t>下单当日</w:t>
      </w:r>
      <w:r>
        <w:rPr>
          <w:rFonts w:hint="eastAsia" w:ascii="宋体" w:hAnsi="宋体" w:cs="宋体"/>
          <w:color w:val="auto"/>
          <w:szCs w:val="21"/>
          <w:highlight w:val="none"/>
        </w:rPr>
        <w:t>SMM 1#电解铜的价格</w:t>
      </w:r>
      <w:r>
        <w:rPr>
          <w:rFonts w:hint="eastAsia" w:ascii="宋体" w:hAnsi="宋体" w:cs="宋体"/>
          <w:b/>
          <w:bCs/>
          <w:color w:val="auto"/>
          <w:szCs w:val="21"/>
          <w:highlight w:val="none"/>
          <w:lang w:val="en-US" w:eastAsia="zh-CN"/>
        </w:rPr>
        <w:t>小于</w:t>
      </w:r>
      <w:r>
        <w:rPr>
          <w:rFonts w:hint="eastAsia" w:ascii="宋体" w:hAnsi="宋体" w:cs="宋体"/>
          <w:color w:val="auto"/>
          <w:szCs w:val="21"/>
          <w:highlight w:val="none"/>
          <w:lang w:val="en-US" w:eastAsia="zh-CN"/>
        </w:rPr>
        <w:t>80000元/吨时，</w:t>
      </w:r>
      <w:r>
        <w:rPr>
          <w:rFonts w:hint="eastAsia" w:ascii="宋体" w:hAnsi="宋体" w:cs="宋体"/>
          <w:color w:val="auto"/>
          <w:szCs w:val="21"/>
          <w:highlight w:val="none"/>
        </w:rPr>
        <w:t>价格浮动按</w:t>
      </w:r>
      <w:r>
        <w:rPr>
          <w:rFonts w:hint="eastAsia" w:ascii="宋体" w:hAnsi="宋体" w:cs="宋体"/>
          <w:b/>
          <w:bCs/>
          <w:color w:val="auto"/>
          <w:szCs w:val="21"/>
          <w:highlight w:val="none"/>
        </w:rPr>
        <w:t>1.7%/1000元</w:t>
      </w:r>
      <w:r>
        <w:rPr>
          <w:rFonts w:hint="eastAsia" w:ascii="宋体" w:hAnsi="宋体" w:cs="宋体"/>
          <w:color w:val="auto"/>
          <w:szCs w:val="21"/>
          <w:highlight w:val="none"/>
        </w:rPr>
        <w:t>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订单单价</w:t>
      </w:r>
      <w:r>
        <w:rPr>
          <w:rFonts w:hint="default" w:ascii="Times New Roman" w:hAnsi="Times New Roman" w:cs="Times New Roman"/>
          <w:b/>
          <w:bCs/>
          <w:color w:val="auto"/>
          <w:szCs w:val="21"/>
          <w:highlight w:val="none"/>
        </w:rPr>
        <w:t>D=A+A*(C-B)/1000*0.017</w:t>
      </w:r>
      <w:r>
        <w:rPr>
          <w:rFonts w:hint="eastAsia" w:ascii="宋体" w:hAnsi="宋体" w:cs="宋体"/>
          <w:color w:val="auto"/>
          <w:szCs w:val="21"/>
          <w:highlight w:val="none"/>
          <w:lang w:eastAsia="zh-CN"/>
        </w:rPr>
        <w:t>；</w:t>
      </w:r>
    </w:p>
    <w:p w14:paraId="779528CC">
      <w:pPr>
        <w:pStyle w:val="47"/>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eastAsia="zh-CN"/>
        </w:rPr>
      </w:pPr>
      <w:r>
        <w:rPr>
          <w:rFonts w:hint="default" w:ascii="Times New Roman" w:hAnsi="Times New Roman" w:cs="Times New Roman"/>
          <w:color w:val="auto"/>
          <w:szCs w:val="21"/>
          <w:highlight w:val="none"/>
          <w:lang w:val="en-US" w:eastAsia="zh-CN"/>
        </w:rPr>
        <w:t>②</w:t>
      </w:r>
      <w:r>
        <w:rPr>
          <w:rFonts w:hint="eastAsia" w:ascii="宋体" w:hAnsi="宋体" w:cs="宋体"/>
          <w:color w:val="auto"/>
          <w:szCs w:val="21"/>
          <w:highlight w:val="none"/>
        </w:rPr>
        <w:t>价格浮动1000元/吨为一档，</w:t>
      </w:r>
      <w:r>
        <w:rPr>
          <w:rFonts w:hint="eastAsia" w:ascii="宋体" w:hAnsi="宋体" w:cs="宋体"/>
          <w:color w:val="auto"/>
          <w:szCs w:val="21"/>
          <w:highlight w:val="none"/>
          <w:lang w:val="en-US" w:eastAsia="zh-CN"/>
        </w:rPr>
        <w:t>下单当日S</w:t>
      </w:r>
      <w:r>
        <w:rPr>
          <w:rFonts w:hint="eastAsia" w:ascii="宋体" w:hAnsi="宋体" w:cs="宋体"/>
          <w:color w:val="auto"/>
          <w:szCs w:val="21"/>
          <w:highlight w:val="none"/>
        </w:rPr>
        <w:t>MM 1#电解铜的价格</w:t>
      </w:r>
      <w:r>
        <w:rPr>
          <w:rFonts w:hint="eastAsia" w:ascii="宋体" w:hAnsi="宋体" w:cs="宋体"/>
          <w:b/>
          <w:bCs/>
          <w:color w:val="auto"/>
          <w:szCs w:val="21"/>
          <w:highlight w:val="none"/>
          <w:lang w:val="en-US" w:eastAsia="zh-CN"/>
        </w:rPr>
        <w:t>大于</w:t>
      </w:r>
      <w:r>
        <w:rPr>
          <w:rFonts w:hint="eastAsia" w:ascii="宋体" w:hAnsi="宋体" w:cs="宋体"/>
          <w:color w:val="auto"/>
          <w:szCs w:val="21"/>
          <w:highlight w:val="none"/>
          <w:lang w:val="en-US" w:eastAsia="zh-CN"/>
        </w:rPr>
        <w:t>80000元/吨时，</w:t>
      </w:r>
      <w:r>
        <w:rPr>
          <w:rFonts w:hint="eastAsia" w:ascii="宋体" w:hAnsi="宋体" w:cs="宋体"/>
          <w:color w:val="auto"/>
          <w:szCs w:val="21"/>
          <w:highlight w:val="none"/>
        </w:rPr>
        <w:t>价格浮动按</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%/1000</w:t>
      </w:r>
      <w:r>
        <w:rPr>
          <w:rFonts w:hint="eastAsia" w:ascii="宋体" w:hAnsi="宋体" w:cs="宋体"/>
          <w:color w:val="auto"/>
          <w:szCs w:val="21"/>
          <w:highlight w:val="none"/>
        </w:rPr>
        <w:t>元计算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订单单价</w:t>
      </w:r>
      <w:r>
        <w:rPr>
          <w:rFonts w:hint="default" w:ascii="Times New Roman" w:hAnsi="Times New Roman" w:cs="Times New Roman"/>
          <w:b/>
          <w:bCs/>
          <w:color w:val="auto"/>
          <w:szCs w:val="21"/>
          <w:highlight w:val="none"/>
        </w:rPr>
        <w:t>D=A+A*(C-B)/1000*0.01</w:t>
      </w:r>
      <w:r>
        <w:rPr>
          <w:rFonts w:hint="eastAsia" w:ascii="Times New Roman" w:hAnsi="Times New Roman" w:cs="Times New Roman"/>
          <w:b/>
          <w:bCs/>
          <w:color w:val="auto"/>
          <w:szCs w:val="21"/>
          <w:highlight w:val="none"/>
          <w:lang w:val="en-US" w:eastAsia="zh-CN"/>
        </w:rPr>
        <w:t>2</w:t>
      </w:r>
      <w:r>
        <w:rPr>
          <w:rFonts w:hint="eastAsia" w:ascii="宋体" w:hAnsi="宋体" w:cs="宋体"/>
          <w:color w:val="auto"/>
          <w:szCs w:val="21"/>
          <w:highlight w:val="none"/>
          <w:lang w:eastAsia="zh-CN"/>
        </w:rPr>
        <w:t>。</w:t>
      </w:r>
    </w:p>
    <w:p w14:paraId="0F544143">
      <w:pPr>
        <w:pStyle w:val="47"/>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w:t>
      </w:r>
      <w:r>
        <w:rPr>
          <w:rFonts w:hint="default" w:ascii="Times New Roman" w:hAnsi="Times New Roman" w:cs="Times New Roman"/>
          <w:color w:val="auto"/>
          <w:szCs w:val="21"/>
          <w:highlight w:val="none"/>
          <w:lang w:val="en-US" w:eastAsia="zh-CN"/>
        </w:rPr>
        <w:t>①</w:t>
      </w:r>
      <w:r>
        <w:rPr>
          <w:rFonts w:hint="eastAsia" w:ascii="宋体" w:hAnsi="宋体" w:cs="宋体"/>
          <w:color w:val="auto"/>
          <w:szCs w:val="21"/>
          <w:highlight w:val="none"/>
        </w:rPr>
        <w:t>SMM 1#电解铜的价格</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海有色网（https://www.smm.cn/）</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SMM 1#电解铜的价格</w:t>
      </w:r>
      <w:r>
        <w:rPr>
          <w:rFonts w:hint="eastAsia" w:ascii="宋体" w:hAnsi="宋体" w:cs="宋体"/>
          <w:color w:val="auto"/>
          <w:szCs w:val="21"/>
          <w:highlight w:val="none"/>
          <w:lang w:val="en-US" w:eastAsia="zh-CN"/>
        </w:rPr>
        <w:t>为准。</w:t>
      </w:r>
      <w:r>
        <w:rPr>
          <w:rFonts w:hint="eastAsia" w:ascii="宋体" w:hAnsi="宋体" w:cs="宋体"/>
          <w:color w:val="auto"/>
          <w:szCs w:val="21"/>
          <w:highlight w:val="none"/>
        </w:rPr>
        <w:t>SMM 1#电解铜当日平均价(设为C)</w:t>
      </w:r>
      <w:r>
        <w:rPr>
          <w:rFonts w:hint="eastAsia" w:ascii="宋体" w:hAnsi="宋体" w:cs="宋体"/>
          <w:color w:val="auto"/>
          <w:szCs w:val="21"/>
          <w:highlight w:val="none"/>
          <w:lang w:val="en-US" w:eastAsia="zh-CN"/>
        </w:rPr>
        <w:t>较基准价B波动</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±1000元/吨时，电缆单价不予调整，其差价由乙方承担或受益。</w:t>
      </w:r>
      <w:r>
        <w:rPr>
          <w:rFonts w:hint="eastAsia" w:ascii="宋体" w:hAnsi="宋体" w:cs="宋体"/>
          <w:szCs w:val="21"/>
          <w:highlight w:val="none"/>
        </w:rPr>
        <w:t>其中，（C-B)/1000取整</w:t>
      </w:r>
      <w:r>
        <w:rPr>
          <w:rFonts w:hint="eastAsia" w:ascii="宋体" w:hAnsi="宋体" w:cs="宋体"/>
          <w:szCs w:val="21"/>
          <w:highlight w:val="none"/>
          <w:lang w:eastAsia="zh-CN"/>
        </w:rPr>
        <w:t>（</w:t>
      </w:r>
      <w:r>
        <w:rPr>
          <w:rFonts w:hint="eastAsia" w:ascii="宋体" w:hAnsi="宋体" w:cs="宋体"/>
          <w:szCs w:val="21"/>
          <w:highlight w:val="none"/>
          <w:lang w:val="en-US" w:eastAsia="zh-CN"/>
        </w:rPr>
        <w:t>四舍五入</w:t>
      </w:r>
      <w:r>
        <w:rPr>
          <w:rFonts w:hint="eastAsia" w:ascii="宋体" w:hAnsi="宋体" w:cs="宋体"/>
          <w:szCs w:val="21"/>
          <w:highlight w:val="none"/>
          <w:lang w:eastAsia="zh-CN"/>
        </w:rPr>
        <w:t>）</w:t>
      </w:r>
      <w:r>
        <w:rPr>
          <w:rFonts w:hint="eastAsia" w:ascii="宋体" w:hAnsi="宋体" w:cs="宋体"/>
          <w:color w:val="auto"/>
          <w:szCs w:val="21"/>
          <w:highlight w:val="none"/>
          <w:lang w:val="en-US" w:eastAsia="zh-CN"/>
        </w:rPr>
        <w:t>。当（C-B）为负值时，按相同原则执行调价条款。</w:t>
      </w:r>
    </w:p>
    <w:p w14:paraId="2E4FD956">
      <w:pPr>
        <w:spacing w:line="360" w:lineRule="auto"/>
        <w:ind w:firstLine="420" w:firstLineChars="200"/>
        <w:rPr>
          <w:rFonts w:hint="eastAsia"/>
        </w:rPr>
      </w:pPr>
      <w:r>
        <w:rPr>
          <w:rFonts w:hint="eastAsia" w:ascii="Times New Roman" w:hAnsi="Times New Roman" w:cs="Times New Roman"/>
          <w:color w:val="auto"/>
          <w:szCs w:val="21"/>
          <w:highlight w:val="none"/>
          <w:u w:val="none"/>
          <w:lang w:val="en-US" w:eastAsia="zh-CN"/>
        </w:rPr>
        <w:t>注：</w:t>
      </w:r>
      <w:r>
        <w:rPr>
          <w:rFonts w:hint="default" w:ascii="Times New Roman" w:hAnsi="Times New Roman" w:cs="Times New Roman"/>
          <w:color w:val="auto"/>
          <w:szCs w:val="21"/>
          <w:highlight w:val="none"/>
          <w:u w:val="none"/>
          <w:lang w:val="en-US" w:eastAsia="zh-CN"/>
        </w:rPr>
        <w:t>②</w:t>
      </w:r>
      <w:r>
        <w:rPr>
          <w:rFonts w:hint="eastAsia" w:ascii="宋体" w:hAnsi="宋体" w:cs="宋体"/>
          <w:b/>
          <w:bCs/>
          <w:color w:val="auto"/>
          <w:szCs w:val="21"/>
          <w:highlight w:val="none"/>
          <w:u w:val="none"/>
        </w:rPr>
        <w:t>SMM 1#电解铜的价格</w:t>
      </w:r>
      <w:r>
        <w:rPr>
          <w:rFonts w:hint="eastAsia" w:ascii="宋体" w:hAnsi="宋体" w:cs="宋体"/>
          <w:b/>
          <w:bCs/>
          <w:color w:val="auto"/>
          <w:szCs w:val="21"/>
          <w:highlight w:val="none"/>
          <w:u w:val="none"/>
          <w:lang w:val="en-US" w:eastAsia="zh-CN"/>
        </w:rPr>
        <w:t>B</w:t>
      </w:r>
      <w:r>
        <w:rPr>
          <w:rFonts w:hint="eastAsia" w:ascii="宋体" w:hAnsi="宋体" w:cs="宋体"/>
          <w:color w:val="auto"/>
          <w:szCs w:val="21"/>
          <w:highlight w:val="none"/>
          <w:u w:val="none"/>
          <w:lang w:val="en-US" w:eastAsia="zh-CN"/>
        </w:rPr>
        <w:t>在本合同中约定为2025年9月10日</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海有色网SMM 1#电解铜的价格</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79745元/吨</w:t>
      </w:r>
      <w:r>
        <w:rPr>
          <w:rFonts w:hint="eastAsia" w:ascii="宋体" w:hAnsi="宋体" w:cs="宋体"/>
          <w:color w:val="auto"/>
          <w:szCs w:val="21"/>
          <w:highlight w:val="none"/>
          <w:lang w:val="en-US" w:eastAsia="zh-CN"/>
        </w:rPr>
        <w:t>。</w:t>
      </w:r>
    </w:p>
    <w:p w14:paraId="05737C7B">
      <w:pPr>
        <w:spacing w:line="360" w:lineRule="auto"/>
        <w:rPr>
          <w:rFonts w:hint="eastAsia" w:ascii="宋体" w:hAnsi="宋体" w:cs="宋体"/>
          <w:szCs w:val="21"/>
        </w:rPr>
      </w:pPr>
    </w:p>
    <w:p w14:paraId="02A91F40">
      <w:pPr>
        <w:spacing w:line="360" w:lineRule="auto"/>
        <w:ind w:firstLine="422"/>
        <w:rPr>
          <w:b/>
          <w:bCs/>
          <w:szCs w:val="21"/>
        </w:rPr>
      </w:pPr>
      <w:r>
        <w:rPr>
          <w:b/>
          <w:bCs/>
          <w:szCs w:val="21"/>
        </w:rPr>
        <w:t>二、交货期、交货方式及交货地点</w:t>
      </w:r>
    </w:p>
    <w:p w14:paraId="4E4FB706">
      <w:pPr>
        <w:spacing w:line="360" w:lineRule="auto"/>
        <w:ind w:firstLine="440"/>
        <w:rPr>
          <w:sz w:val="22"/>
          <w:szCs w:val="22"/>
        </w:rPr>
      </w:pPr>
      <w:r>
        <w:rPr>
          <w:sz w:val="22"/>
          <w:szCs w:val="22"/>
        </w:rPr>
        <w:t>2.1 交货期：</w:t>
      </w:r>
      <w:r>
        <w:rPr>
          <w:sz w:val="22"/>
          <w:szCs w:val="22"/>
          <w:u w:val="single"/>
        </w:rPr>
        <w:t xml:space="preserve"> </w:t>
      </w:r>
      <w:r>
        <w:rPr>
          <w:b/>
          <w:bCs/>
          <w:sz w:val="22"/>
          <w:szCs w:val="22"/>
          <w:u w:val="single"/>
        </w:rPr>
        <w:t xml:space="preserve"> </w:t>
      </w:r>
      <w:r>
        <w:rPr>
          <w:rFonts w:hint="eastAsia"/>
          <w:b/>
          <w:bCs/>
          <w:sz w:val="22"/>
          <w:szCs w:val="22"/>
          <w:u w:val="single"/>
          <w:lang w:val="en-US" w:eastAsia="zh-CN"/>
        </w:rPr>
        <w:t>10</w:t>
      </w:r>
      <w:r>
        <w:rPr>
          <w:b/>
          <w:bCs/>
          <w:sz w:val="22"/>
          <w:szCs w:val="22"/>
          <w:u w:val="single"/>
        </w:rPr>
        <w:t xml:space="preserve">  </w:t>
      </w:r>
      <w:r>
        <w:rPr>
          <w:bCs/>
          <w:sz w:val="22"/>
          <w:szCs w:val="22"/>
        </w:rPr>
        <w:t>日历天</w:t>
      </w:r>
      <w:r>
        <w:rPr>
          <w:sz w:val="22"/>
          <w:szCs w:val="22"/>
        </w:rPr>
        <w:t>，</w:t>
      </w:r>
      <w:r>
        <w:rPr>
          <w:szCs w:val="21"/>
        </w:rPr>
        <w:t>具体交货日期由甲方指定</w:t>
      </w:r>
      <w:r>
        <w:rPr>
          <w:sz w:val="22"/>
          <w:szCs w:val="22"/>
        </w:rPr>
        <w:t>；</w:t>
      </w:r>
    </w:p>
    <w:p w14:paraId="5C3D1029">
      <w:pPr>
        <w:spacing w:line="360" w:lineRule="auto"/>
        <w:ind w:firstLine="440"/>
        <w:rPr>
          <w:sz w:val="22"/>
          <w:szCs w:val="22"/>
        </w:rPr>
      </w:pPr>
      <w:r>
        <w:rPr>
          <w:sz w:val="22"/>
          <w:szCs w:val="22"/>
        </w:rPr>
        <w:t>2.2 交货方式：</w:t>
      </w:r>
      <w:r>
        <w:rPr>
          <w:sz w:val="22"/>
          <w:szCs w:val="22"/>
          <w:u w:val="single"/>
        </w:rPr>
        <w:t xml:space="preserve"> </w:t>
      </w:r>
      <w:r>
        <w:rPr>
          <w:rFonts w:hint="eastAsia"/>
          <w:sz w:val="22"/>
          <w:szCs w:val="22"/>
          <w:u w:val="single"/>
        </w:rPr>
        <w:t>车板交货</w:t>
      </w:r>
      <w:r>
        <w:rPr>
          <w:sz w:val="22"/>
          <w:szCs w:val="22"/>
          <w:u w:val="single"/>
        </w:rPr>
        <w:t xml:space="preserve"> </w:t>
      </w:r>
      <w:r>
        <w:rPr>
          <w:sz w:val="22"/>
          <w:szCs w:val="22"/>
        </w:rPr>
        <w:t>，现场验收；</w:t>
      </w:r>
    </w:p>
    <w:p w14:paraId="4026584B">
      <w:pPr>
        <w:spacing w:line="360" w:lineRule="auto"/>
        <w:ind w:firstLine="440"/>
        <w:rPr>
          <w:sz w:val="22"/>
          <w:szCs w:val="22"/>
          <w:u w:val="single"/>
        </w:rPr>
      </w:pPr>
      <w:r>
        <w:rPr>
          <w:sz w:val="22"/>
          <w:szCs w:val="22"/>
        </w:rPr>
        <w:t>2.3 交货地点：连云港市甲方指定地点。</w:t>
      </w:r>
      <w:r>
        <w:rPr>
          <w:kern w:val="0"/>
          <w:sz w:val="22"/>
          <w:szCs w:val="22"/>
        </w:rPr>
        <w:t xml:space="preserve"> </w:t>
      </w:r>
    </w:p>
    <w:p w14:paraId="67EA2CE3">
      <w:pPr>
        <w:spacing w:line="360" w:lineRule="auto"/>
        <w:ind w:firstLine="442"/>
        <w:rPr>
          <w:b/>
          <w:bCs/>
          <w:sz w:val="22"/>
          <w:szCs w:val="22"/>
        </w:rPr>
      </w:pPr>
      <w:r>
        <w:rPr>
          <w:b/>
          <w:bCs/>
          <w:sz w:val="22"/>
          <w:szCs w:val="22"/>
        </w:rPr>
        <w:t>三、合同款支付</w:t>
      </w:r>
    </w:p>
    <w:p w14:paraId="69664E2F">
      <w:pPr>
        <w:spacing w:line="360" w:lineRule="auto"/>
        <w:ind w:firstLine="440"/>
        <w:rPr>
          <w:rFonts w:hint="eastAsia" w:eastAsia="宋体"/>
          <w:b/>
          <w:bCs/>
          <w:sz w:val="22"/>
          <w:szCs w:val="22"/>
          <w:lang w:eastAsia="zh-CN"/>
        </w:rPr>
      </w:pPr>
      <w:r>
        <w:rPr>
          <w:sz w:val="22"/>
          <w:szCs w:val="22"/>
        </w:rPr>
        <w:t>3.1 付款方式：</w:t>
      </w:r>
      <w:r>
        <w:rPr>
          <w:rFonts w:hint="eastAsia"/>
          <w:b/>
          <w:bCs/>
          <w:sz w:val="22"/>
          <w:szCs w:val="22"/>
        </w:rPr>
        <w:t>本项目发货前付至合同金额的70%，付款前卖方需提供等额无条件见索即付银行保函，保函期限为30日历天，抽检合格后或货到现场30天内付至实际供货金额的100%，质保期2年。付款方式为现金或银行承兑汇票。（付款前，乙方需开具与付款金额一致的正式增值税专用发票，税率为13%，因国家税制改革或乙方为小规模纳税人而引发的增值税税率的变化，本合同应适用调整后最新税率，合同原约定的不含税价不因税率变化而改变）</w:t>
      </w:r>
      <w:r>
        <w:rPr>
          <w:rFonts w:hint="eastAsia"/>
          <w:b/>
          <w:bCs/>
          <w:sz w:val="22"/>
          <w:szCs w:val="22"/>
          <w:lang w:eastAsia="zh-CN"/>
        </w:rPr>
        <w:t>。</w:t>
      </w:r>
    </w:p>
    <w:p w14:paraId="17CD3829">
      <w:pPr>
        <w:spacing w:line="360" w:lineRule="auto"/>
        <w:ind w:firstLine="442"/>
        <w:rPr>
          <w:b/>
          <w:bCs/>
          <w:sz w:val="22"/>
          <w:szCs w:val="22"/>
        </w:rPr>
      </w:pPr>
      <w:r>
        <w:rPr>
          <w:b/>
          <w:bCs/>
          <w:sz w:val="22"/>
          <w:szCs w:val="22"/>
        </w:rPr>
        <w:t>四、质保期</w:t>
      </w:r>
    </w:p>
    <w:p w14:paraId="2079CE45">
      <w:pPr>
        <w:spacing w:line="360" w:lineRule="auto"/>
        <w:ind w:firstLine="440"/>
        <w:rPr>
          <w:sz w:val="22"/>
          <w:szCs w:val="22"/>
        </w:rPr>
      </w:pPr>
      <w:r>
        <w:rPr>
          <w:sz w:val="22"/>
          <w:szCs w:val="22"/>
        </w:rPr>
        <w:t>4.1 质保期</w:t>
      </w:r>
      <w:r>
        <w:rPr>
          <w:sz w:val="22"/>
          <w:szCs w:val="22"/>
          <w:u w:val="single"/>
        </w:rPr>
        <w:t xml:space="preserve"> 2 </w:t>
      </w:r>
      <w:r>
        <w:rPr>
          <w:sz w:val="22"/>
          <w:szCs w:val="22"/>
        </w:rPr>
        <w:t>年。（自</w:t>
      </w:r>
      <w:r>
        <w:rPr>
          <w:rFonts w:hint="eastAsia"/>
          <w:sz w:val="22"/>
          <w:szCs w:val="22"/>
        </w:rPr>
        <w:t>最后一批货物</w:t>
      </w:r>
      <w:r>
        <w:rPr>
          <w:sz w:val="22"/>
          <w:szCs w:val="22"/>
        </w:rPr>
        <w:t>交货验收合格之日起计）</w:t>
      </w:r>
    </w:p>
    <w:p w14:paraId="25491435">
      <w:pPr>
        <w:spacing w:line="360" w:lineRule="auto"/>
        <w:ind w:firstLine="442"/>
        <w:rPr>
          <w:b/>
          <w:bCs/>
          <w:sz w:val="22"/>
          <w:szCs w:val="22"/>
        </w:rPr>
      </w:pPr>
      <w:r>
        <w:rPr>
          <w:b/>
          <w:bCs/>
          <w:sz w:val="22"/>
          <w:szCs w:val="22"/>
        </w:rPr>
        <w:t>五、质量保证及售后服务</w:t>
      </w:r>
    </w:p>
    <w:p w14:paraId="53DF9492">
      <w:pPr>
        <w:spacing w:line="360" w:lineRule="auto"/>
        <w:ind w:firstLine="440"/>
        <w:rPr>
          <w:sz w:val="22"/>
          <w:szCs w:val="22"/>
        </w:rPr>
      </w:pPr>
      <w:r>
        <w:rPr>
          <w:sz w:val="22"/>
          <w:szCs w:val="22"/>
        </w:rPr>
        <w:t>5.1 乙方应按合同规定的货物性能、技术要求、质量标准向甲方提供未经使用的全新产品。</w:t>
      </w:r>
    </w:p>
    <w:p w14:paraId="20BBD657">
      <w:pPr>
        <w:spacing w:line="360" w:lineRule="auto"/>
        <w:ind w:firstLine="440"/>
        <w:rPr>
          <w:sz w:val="22"/>
          <w:szCs w:val="22"/>
        </w:rPr>
      </w:pPr>
      <w:r>
        <w:rPr>
          <w:sz w:val="22"/>
          <w:szCs w:val="22"/>
        </w:rPr>
        <w:t>5.2 乙方提供的货物在质保期内因货物本身的质量问题发生故障或达不到技术要求，乙方应负责免费更换，更换后质保期相应顺延。</w:t>
      </w:r>
    </w:p>
    <w:p w14:paraId="369C76AA">
      <w:pPr>
        <w:spacing w:line="360" w:lineRule="auto"/>
        <w:ind w:firstLine="440"/>
        <w:rPr>
          <w:sz w:val="22"/>
          <w:szCs w:val="22"/>
        </w:rPr>
      </w:pPr>
      <w:r>
        <w:rPr>
          <w:sz w:val="22"/>
          <w:szCs w:val="22"/>
        </w:rPr>
        <w:t>5.3 如在使用过程中发生质量问题，乙方在接到甲方通知后在省内24小时内、省外48小时内到达甲方现场。</w:t>
      </w:r>
      <w:r>
        <w:rPr>
          <w:sz w:val="22"/>
          <w:szCs w:val="22"/>
          <w:lang w:val="zh-CN"/>
        </w:rPr>
        <w:t>厂商应设专门的服务机构，提供24小时的应急服务电话。</w:t>
      </w:r>
    </w:p>
    <w:p w14:paraId="0DE9E869">
      <w:pPr>
        <w:spacing w:line="360" w:lineRule="auto"/>
        <w:ind w:firstLine="440"/>
        <w:rPr>
          <w:sz w:val="22"/>
          <w:szCs w:val="22"/>
        </w:rPr>
      </w:pPr>
      <w:r>
        <w:rPr>
          <w:sz w:val="22"/>
          <w:szCs w:val="22"/>
        </w:rPr>
        <w:t>5.4 在质保期内，乙方应对货物出现的质量及安全问题负责处理解决并承担一切费用。终身优惠提供配件和维修；在质保期内，所有非故意性损坏以及正常使用范围内造成的损坏均要免费维修或更换。</w:t>
      </w:r>
    </w:p>
    <w:p w14:paraId="7727391A">
      <w:pPr>
        <w:spacing w:line="360" w:lineRule="auto"/>
        <w:ind w:firstLine="440"/>
        <w:rPr>
          <w:sz w:val="22"/>
          <w:szCs w:val="22"/>
        </w:rPr>
      </w:pPr>
      <w:r>
        <w:rPr>
          <w:sz w:val="22"/>
          <w:szCs w:val="22"/>
        </w:rPr>
        <w:t>5.5 因甲方的不正当使用所造成的损坏，乙方负责维修，费用由甲方承担，维修费用只收部件成本费。</w:t>
      </w:r>
    </w:p>
    <w:p w14:paraId="72E2B9CA">
      <w:pPr>
        <w:spacing w:line="360" w:lineRule="auto"/>
        <w:ind w:firstLine="440"/>
        <w:rPr>
          <w:sz w:val="22"/>
          <w:szCs w:val="22"/>
        </w:rPr>
      </w:pPr>
      <w:r>
        <w:rPr>
          <w:sz w:val="22"/>
          <w:szCs w:val="22"/>
        </w:rPr>
        <w:t>5.6 维护保修要求：（1）超过质保期后，提供终身有偿维修、保养服务、维修费用只收部件成本费。（2）随时优惠提供备品备件，优惠提供产品更新、改造服务。（3）故障处理：按国家及行业标准对故障进行及时处理。</w:t>
      </w:r>
    </w:p>
    <w:p w14:paraId="113BD732">
      <w:pPr>
        <w:spacing w:line="360" w:lineRule="auto"/>
        <w:ind w:firstLine="420"/>
      </w:pPr>
      <w:r>
        <w:t>以上涉及违约责任详见第十条。</w:t>
      </w:r>
    </w:p>
    <w:p w14:paraId="3AE738C0">
      <w:pPr>
        <w:spacing w:line="360" w:lineRule="auto"/>
        <w:ind w:firstLine="442"/>
        <w:rPr>
          <w:b/>
          <w:bCs/>
          <w:sz w:val="22"/>
          <w:szCs w:val="22"/>
        </w:rPr>
      </w:pPr>
      <w:r>
        <w:rPr>
          <w:b/>
          <w:bCs/>
          <w:sz w:val="22"/>
          <w:szCs w:val="22"/>
        </w:rPr>
        <w:t>六、技术资料</w:t>
      </w:r>
    </w:p>
    <w:p w14:paraId="73847892">
      <w:pPr>
        <w:spacing w:line="360" w:lineRule="auto"/>
        <w:ind w:firstLine="440"/>
        <w:rPr>
          <w:sz w:val="22"/>
          <w:szCs w:val="22"/>
        </w:rPr>
      </w:pPr>
      <w:r>
        <w:rPr>
          <w:sz w:val="22"/>
          <w:szCs w:val="22"/>
        </w:rPr>
        <w:t>6.1 乙方提供货物应符合国标、行业标准，并应满足甲方要求。</w:t>
      </w:r>
    </w:p>
    <w:p w14:paraId="0B14D38E">
      <w:pPr>
        <w:spacing w:line="360" w:lineRule="auto"/>
        <w:ind w:firstLine="440"/>
        <w:rPr>
          <w:sz w:val="22"/>
          <w:szCs w:val="22"/>
        </w:rPr>
      </w:pPr>
      <w:r>
        <w:rPr>
          <w:sz w:val="22"/>
          <w:szCs w:val="22"/>
        </w:rPr>
        <w:t>6.2 乙方应按谈判文件规定的时间向甲方提供使用货物的有关技术资料、资质证明资料等。</w:t>
      </w:r>
    </w:p>
    <w:p w14:paraId="1E4CA4C9">
      <w:pPr>
        <w:spacing w:line="360" w:lineRule="auto"/>
        <w:ind w:firstLine="440"/>
        <w:rPr>
          <w:sz w:val="22"/>
          <w:szCs w:val="22"/>
        </w:rPr>
      </w:pPr>
      <w:r>
        <w:rPr>
          <w:sz w:val="22"/>
          <w:szCs w:val="22"/>
        </w:rPr>
        <w:t>6.3 由甲方提供的有关合同或任何合同条文、规格、计划、图纸、样品或资料，乙方应保密并限于本合同内使用。未经甲方同意，乙方不得将上述文件提供给与履行本合同无关的人员或单位。</w:t>
      </w:r>
    </w:p>
    <w:p w14:paraId="1F77FF19">
      <w:pPr>
        <w:spacing w:line="360" w:lineRule="auto"/>
        <w:ind w:firstLine="442"/>
        <w:rPr>
          <w:b/>
          <w:bCs/>
          <w:sz w:val="22"/>
          <w:szCs w:val="22"/>
        </w:rPr>
      </w:pPr>
      <w:r>
        <w:rPr>
          <w:b/>
          <w:bCs/>
          <w:sz w:val="22"/>
          <w:szCs w:val="22"/>
        </w:rPr>
        <w:t>七、知识产权</w:t>
      </w:r>
    </w:p>
    <w:p w14:paraId="44EE7A5D">
      <w:pPr>
        <w:spacing w:line="360" w:lineRule="auto"/>
        <w:ind w:firstLine="440"/>
        <w:rPr>
          <w:sz w:val="22"/>
          <w:szCs w:val="22"/>
        </w:rPr>
      </w:pPr>
      <w:r>
        <w:rPr>
          <w:sz w:val="22"/>
          <w:szCs w:val="22"/>
        </w:rPr>
        <w:t>7.1 乙方应保证所提供的货物或其任何一部分均不会侵犯任何第三方的专利权、商标权或著作权。</w:t>
      </w:r>
    </w:p>
    <w:p w14:paraId="474D913F">
      <w:pPr>
        <w:spacing w:line="360" w:lineRule="auto"/>
        <w:ind w:firstLine="440"/>
        <w:rPr>
          <w:sz w:val="22"/>
          <w:szCs w:val="22"/>
        </w:rPr>
      </w:pPr>
      <w:r>
        <w:rPr>
          <w:sz w:val="22"/>
          <w:szCs w:val="22"/>
        </w:rPr>
        <w:t>7.2 乙方保证所交付的货物的所有权完全属于乙方且无任何抵押、查封等产权瑕疵。如乙方所交货物有产权瑕疵的，视为乙方违约。但在已经全部支付完合同款后才发现有产权瑕疵的，除了支付违约金，乙方还应负担由此而产生的一切损失。</w:t>
      </w:r>
    </w:p>
    <w:p w14:paraId="2F80C8CE">
      <w:pPr>
        <w:spacing w:line="360" w:lineRule="auto"/>
        <w:ind w:firstLine="442"/>
        <w:rPr>
          <w:b/>
          <w:bCs/>
          <w:sz w:val="22"/>
          <w:szCs w:val="22"/>
        </w:rPr>
      </w:pPr>
      <w:r>
        <w:rPr>
          <w:b/>
          <w:bCs/>
          <w:sz w:val="22"/>
          <w:szCs w:val="22"/>
        </w:rPr>
        <w:t>八、货物验收</w:t>
      </w:r>
    </w:p>
    <w:p w14:paraId="602388EE">
      <w:pPr>
        <w:spacing w:line="360" w:lineRule="auto"/>
        <w:ind w:firstLine="440"/>
        <w:rPr>
          <w:sz w:val="22"/>
          <w:szCs w:val="22"/>
        </w:rPr>
      </w:pPr>
      <w:r>
        <w:rPr>
          <w:sz w:val="22"/>
          <w:szCs w:val="22"/>
        </w:rPr>
        <w:t>8.1 甲方对乙方提交的货物依据谈判文件上的技术规格要求和国家有关质量标准，以及随货物一并提交的该批产品质量检测报告进行现场初步验收，外观、说明书符合谈判文件技术要求的，给予签收，初步验收不合格的不予签收并可立即要求退换。在甲方将所有的货物按谈判文件要求和国家标准或行业标准进行检测验收后；发现有其他非故意的损坏或质量问题的由乙方立即予以更换，不得拒绝和延误。若供货商未提供该批产品质量检测报告，甲方有权拒绝验收和接收该批产品。</w:t>
      </w:r>
    </w:p>
    <w:p w14:paraId="33F49C04">
      <w:pPr>
        <w:spacing w:line="360" w:lineRule="auto"/>
        <w:ind w:firstLine="440"/>
        <w:rPr>
          <w:sz w:val="22"/>
          <w:szCs w:val="22"/>
        </w:rPr>
      </w:pPr>
      <w:r>
        <w:rPr>
          <w:sz w:val="22"/>
          <w:szCs w:val="22"/>
        </w:rPr>
        <w:t>8.2 乙方交货前应对产品作出全面检查和对验收文件进行整理，并列出清单，经甲方确认后，双方签字。作为甲方收货验收和使用的技术条件依据，检验的结果应随货物交甲方。若乙方未提供该批产品检查及验收文件清单，甲方有权拒绝验收和接收该批产品。</w:t>
      </w:r>
    </w:p>
    <w:p w14:paraId="330755E1">
      <w:pPr>
        <w:spacing w:line="360" w:lineRule="auto"/>
        <w:ind w:firstLine="440"/>
        <w:rPr>
          <w:sz w:val="22"/>
          <w:szCs w:val="22"/>
        </w:rPr>
      </w:pPr>
      <w:r>
        <w:rPr>
          <w:sz w:val="22"/>
          <w:szCs w:val="22"/>
        </w:rPr>
        <w:t>8.3 乙方应指派专人参与现场验收，如验收时乙方不在现场，视为乙方认可甲方的验收结果，验收完毕后作出验收结果报告。</w:t>
      </w:r>
    </w:p>
    <w:p w14:paraId="47FD6BE7">
      <w:pPr>
        <w:spacing w:line="360" w:lineRule="auto"/>
        <w:ind w:firstLine="440"/>
        <w:rPr>
          <w:sz w:val="22"/>
          <w:szCs w:val="22"/>
        </w:rPr>
      </w:pPr>
      <w:r>
        <w:rPr>
          <w:sz w:val="22"/>
          <w:szCs w:val="22"/>
        </w:rPr>
        <w:t>8.4 甲方可以委托质量检测机构，按照国家标准，对乙方提供贷物进行抽样检测，并出具验收报告，</w:t>
      </w:r>
      <w:r>
        <w:rPr>
          <w:rFonts w:hint="eastAsia"/>
          <w:sz w:val="22"/>
          <w:szCs w:val="22"/>
        </w:rPr>
        <w:t>检测合格，</w:t>
      </w:r>
      <w:r>
        <w:rPr>
          <w:sz w:val="22"/>
          <w:szCs w:val="22"/>
        </w:rPr>
        <w:t>相关费用由甲方承担</w:t>
      </w:r>
      <w:r>
        <w:rPr>
          <w:rFonts w:hint="eastAsia"/>
          <w:sz w:val="22"/>
          <w:szCs w:val="22"/>
        </w:rPr>
        <w:t>，检测不合格，</w:t>
      </w:r>
      <w:r>
        <w:rPr>
          <w:sz w:val="22"/>
          <w:szCs w:val="22"/>
        </w:rPr>
        <w:t>相关费用由</w:t>
      </w:r>
      <w:r>
        <w:rPr>
          <w:rFonts w:hint="eastAsia"/>
          <w:sz w:val="22"/>
          <w:szCs w:val="22"/>
        </w:rPr>
        <w:t>乙</w:t>
      </w:r>
      <w:r>
        <w:rPr>
          <w:sz w:val="22"/>
          <w:szCs w:val="22"/>
        </w:rPr>
        <w:t>方承担。</w:t>
      </w:r>
    </w:p>
    <w:p w14:paraId="54934423">
      <w:pPr>
        <w:spacing w:line="360" w:lineRule="auto"/>
        <w:ind w:firstLine="442"/>
        <w:rPr>
          <w:b/>
          <w:bCs/>
          <w:sz w:val="22"/>
          <w:szCs w:val="22"/>
        </w:rPr>
      </w:pPr>
      <w:r>
        <w:rPr>
          <w:b/>
          <w:bCs/>
          <w:sz w:val="22"/>
          <w:szCs w:val="22"/>
        </w:rPr>
        <w:t>九、货物包装、发运及运输</w:t>
      </w:r>
    </w:p>
    <w:p w14:paraId="776081DE">
      <w:pPr>
        <w:spacing w:line="360" w:lineRule="auto"/>
        <w:ind w:firstLine="440"/>
        <w:rPr>
          <w:sz w:val="22"/>
          <w:szCs w:val="22"/>
        </w:rPr>
      </w:pPr>
      <w:r>
        <w:rPr>
          <w:sz w:val="22"/>
          <w:szCs w:val="22"/>
        </w:rPr>
        <w:t>9.1 乙方应在货物发运前对其进行满足运输距离、防潮、防震、防锈和防破损装卸等要求包装，以保证货物安全运达甲方指定地点。</w:t>
      </w:r>
    </w:p>
    <w:p w14:paraId="7B63B440">
      <w:pPr>
        <w:spacing w:line="360" w:lineRule="auto"/>
        <w:ind w:firstLine="440"/>
        <w:rPr>
          <w:sz w:val="22"/>
          <w:szCs w:val="22"/>
        </w:rPr>
      </w:pPr>
      <w:r>
        <w:rPr>
          <w:sz w:val="22"/>
          <w:szCs w:val="22"/>
        </w:rPr>
        <w:t>9.2 使用说明书、质量检验证明书、随配附件和工具以及清单一并附于货物内。</w:t>
      </w:r>
    </w:p>
    <w:p w14:paraId="3396ED8E">
      <w:pPr>
        <w:spacing w:line="360" w:lineRule="auto"/>
        <w:ind w:firstLine="440"/>
        <w:rPr>
          <w:sz w:val="22"/>
          <w:szCs w:val="22"/>
        </w:rPr>
      </w:pPr>
      <w:r>
        <w:rPr>
          <w:sz w:val="22"/>
          <w:szCs w:val="22"/>
        </w:rPr>
        <w:t>9.3 乙方在货物发运手续办理完后24小时内或货到甲方48小时前通知甲方，以准备接货。</w:t>
      </w:r>
    </w:p>
    <w:p w14:paraId="7746F25D">
      <w:pPr>
        <w:spacing w:line="360" w:lineRule="auto"/>
        <w:ind w:firstLine="440"/>
        <w:rPr>
          <w:sz w:val="22"/>
          <w:szCs w:val="22"/>
        </w:rPr>
      </w:pPr>
      <w:r>
        <w:rPr>
          <w:sz w:val="22"/>
          <w:szCs w:val="22"/>
        </w:rPr>
        <w:t>9.</w:t>
      </w:r>
      <w:r>
        <w:rPr>
          <w:rFonts w:hint="eastAsia"/>
          <w:sz w:val="22"/>
          <w:szCs w:val="22"/>
        </w:rPr>
        <w:t>4</w:t>
      </w:r>
      <w:r>
        <w:rPr>
          <w:sz w:val="22"/>
          <w:szCs w:val="22"/>
        </w:rPr>
        <w:t xml:space="preserve"> 货物在交付甲方前发生的风险均由乙方负责。</w:t>
      </w:r>
    </w:p>
    <w:p w14:paraId="246EA462">
      <w:pPr>
        <w:spacing w:line="360" w:lineRule="auto"/>
        <w:ind w:firstLine="440"/>
        <w:rPr>
          <w:sz w:val="22"/>
          <w:szCs w:val="22"/>
        </w:rPr>
      </w:pPr>
      <w:r>
        <w:rPr>
          <w:sz w:val="22"/>
          <w:szCs w:val="22"/>
        </w:rPr>
        <w:t>9.</w:t>
      </w:r>
      <w:r>
        <w:rPr>
          <w:rFonts w:hint="eastAsia"/>
          <w:sz w:val="22"/>
          <w:szCs w:val="22"/>
        </w:rPr>
        <w:t>5</w:t>
      </w:r>
      <w:r>
        <w:rPr>
          <w:sz w:val="22"/>
          <w:szCs w:val="22"/>
        </w:rPr>
        <w:t xml:space="preserve"> 货物在规定的交付期限内由乙方送达甲方指定的地点，乙方同时需通知甲方货物已送达，并且需由甲方签收，外观检查，及调试合格后交付，此项不包括内部质量验收。</w:t>
      </w:r>
    </w:p>
    <w:p w14:paraId="6AA4B19E">
      <w:pPr>
        <w:spacing w:line="360" w:lineRule="auto"/>
        <w:ind w:firstLine="442"/>
        <w:rPr>
          <w:b/>
          <w:bCs/>
          <w:sz w:val="22"/>
          <w:szCs w:val="22"/>
        </w:rPr>
      </w:pPr>
      <w:r>
        <w:rPr>
          <w:b/>
          <w:bCs/>
          <w:sz w:val="22"/>
          <w:szCs w:val="22"/>
        </w:rPr>
        <w:t>十、违约责任</w:t>
      </w:r>
    </w:p>
    <w:p w14:paraId="19552F9A">
      <w:pPr>
        <w:spacing w:line="360" w:lineRule="auto"/>
        <w:ind w:firstLine="440"/>
        <w:rPr>
          <w:sz w:val="22"/>
          <w:szCs w:val="22"/>
        </w:rPr>
      </w:pPr>
      <w:r>
        <w:rPr>
          <w:sz w:val="22"/>
          <w:szCs w:val="22"/>
        </w:rPr>
        <w:t>10.1 乙方逾期交付货物的，以逾期交货部分货款额为基数，乙方以每日0.5%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94D1517">
      <w:pPr>
        <w:spacing w:line="360" w:lineRule="auto"/>
        <w:ind w:firstLine="440"/>
        <w:rPr>
          <w:sz w:val="22"/>
          <w:szCs w:val="22"/>
        </w:rPr>
      </w:pPr>
      <w:r>
        <w:rPr>
          <w:sz w:val="22"/>
          <w:szCs w:val="22"/>
        </w:rPr>
        <w:t>10.2 乙方所交的货物品种、型号、规格、技术参数、质量不符合合同规定及采购文件规定标准的，甲方有权选择如下处理方式：</w:t>
      </w:r>
    </w:p>
    <w:p w14:paraId="35BE9D64">
      <w:pPr>
        <w:spacing w:line="360" w:lineRule="auto"/>
        <w:ind w:firstLine="420"/>
      </w:pPr>
      <w:r>
        <w:t>①要求乙方立即更换，乙方自行承担更换货物所发生费用，如造成甲方损失，乙方应承担赔偿责任；</w:t>
      </w:r>
    </w:p>
    <w:p w14:paraId="1EA5C703">
      <w:pPr>
        <w:spacing w:line="360" w:lineRule="auto"/>
        <w:ind w:firstLine="420"/>
      </w:pPr>
      <w:r>
        <w:t>②视违约情况扣减乙方对应合同款并追加合同额5%的罚款，如造成甲方额外损失，乙方应承担赔偿责任；</w:t>
      </w:r>
    </w:p>
    <w:p w14:paraId="1310FACA">
      <w:pPr>
        <w:spacing w:line="360" w:lineRule="auto"/>
        <w:ind w:firstLine="420"/>
      </w:pPr>
      <w:r>
        <w:t>③违约情况严重的，甲方可选择单方面解除合同，并追究乙方赔偿责任。</w:t>
      </w:r>
    </w:p>
    <w:p w14:paraId="640BDE30">
      <w:pPr>
        <w:spacing w:line="360" w:lineRule="auto"/>
        <w:ind w:firstLine="440"/>
        <w:rPr>
          <w:sz w:val="22"/>
          <w:szCs w:val="22"/>
        </w:rPr>
      </w:pPr>
      <w:r>
        <w:rPr>
          <w:sz w:val="22"/>
          <w:szCs w:val="22"/>
        </w:rPr>
        <w:t>10.3 甲方要求乙方进行现场服务时，若乙方未在约定的时间内答复和到达现场，每推迟1日乙方应向甲方支付违约金</w:t>
      </w:r>
      <w:r>
        <w:rPr>
          <w:rFonts w:hint="eastAsia"/>
          <w:sz w:val="22"/>
          <w:szCs w:val="22"/>
        </w:rPr>
        <w:t>3000</w:t>
      </w:r>
      <w:r>
        <w:rPr>
          <w:sz w:val="22"/>
          <w:szCs w:val="22"/>
        </w:rPr>
        <w:t>元。</w:t>
      </w:r>
    </w:p>
    <w:p w14:paraId="42FFCEC9">
      <w:pPr>
        <w:spacing w:line="360" w:lineRule="auto"/>
        <w:ind w:firstLine="440"/>
        <w:rPr>
          <w:sz w:val="22"/>
          <w:szCs w:val="22"/>
        </w:rPr>
      </w:pPr>
      <w:r>
        <w:rPr>
          <w:sz w:val="22"/>
          <w:szCs w:val="22"/>
        </w:rPr>
        <w:t>10.4 在质保期内产品出现质量问题，乙方接到通知后未在省内24小时内、省外48小时内到达现场进行处置的，每推迟1日乙方应向甲方支付违约金</w:t>
      </w:r>
      <w:r>
        <w:rPr>
          <w:rFonts w:hint="eastAsia"/>
          <w:sz w:val="22"/>
          <w:szCs w:val="22"/>
        </w:rPr>
        <w:t>5</w:t>
      </w:r>
      <w:r>
        <w:rPr>
          <w:sz w:val="22"/>
          <w:szCs w:val="22"/>
        </w:rPr>
        <w:t>000元。</w:t>
      </w:r>
    </w:p>
    <w:p w14:paraId="1C6087A0">
      <w:pPr>
        <w:spacing w:line="360" w:lineRule="auto"/>
        <w:ind w:firstLine="440"/>
        <w:rPr>
          <w:sz w:val="22"/>
          <w:szCs w:val="22"/>
        </w:rPr>
      </w:pPr>
      <w:r>
        <w:rPr>
          <w:sz w:val="22"/>
          <w:szCs w:val="22"/>
        </w:rPr>
        <w:t>10.5 在产品正常使用寿命周期内，除产品故障或损坏系由甲方或第三方非专业人员的不当操作、误用、疏忽、擅自改动或维修等人为因素造成或因自然灾害、战争、暴乱、政府行为等不可抗力因素外，若因产品本身设计、质量问题导致产品无法正常使用，乙方需负责无条件免费维修或更换，由此产生的相关费用由乙方承担。</w:t>
      </w:r>
    </w:p>
    <w:p w14:paraId="31EC6B87">
      <w:pPr>
        <w:spacing w:line="360" w:lineRule="auto"/>
        <w:ind w:firstLine="440"/>
        <w:rPr>
          <w:sz w:val="22"/>
          <w:szCs w:val="22"/>
        </w:rPr>
      </w:pPr>
      <w:r>
        <w:rPr>
          <w:sz w:val="22"/>
          <w:szCs w:val="22"/>
        </w:rPr>
        <w:t>10.6 因合同变更需退还发票或返还超付价款的，乙方应在合同变更30日内与甲方相互配合办理红字发票手续或超付退款手续。因乙方不在甲方规定的时间内办理或无理由拒绝办理红字发票手续、超付退款手续而造成结算滞后的，按对应发票金额×0.4%×逾期交票周数、超付退款金额×0.4%×逾期退款周数由乙方向甲方支付违约金，不足一周按一周计。</w:t>
      </w:r>
    </w:p>
    <w:p w14:paraId="544CCB16">
      <w:pPr>
        <w:spacing w:line="360" w:lineRule="auto"/>
        <w:ind w:firstLine="440"/>
        <w:rPr>
          <w:sz w:val="22"/>
          <w:szCs w:val="22"/>
        </w:rPr>
      </w:pPr>
      <w:r>
        <w:rPr>
          <w:sz w:val="22"/>
          <w:szCs w:val="22"/>
        </w:rPr>
        <w:t>10.7 甲方有权根据乙方不履行或不按约定或不配合履行合同情况，对乙方进行暂停、禁止参与谈判资格。</w:t>
      </w:r>
    </w:p>
    <w:p w14:paraId="50E198B0">
      <w:pPr>
        <w:spacing w:line="360" w:lineRule="auto"/>
        <w:ind w:firstLine="420"/>
        <w:rPr>
          <w:sz w:val="22"/>
          <w:szCs w:val="22"/>
        </w:rPr>
      </w:pPr>
      <w:r>
        <w:rPr>
          <w:rFonts w:hint="eastAsia"/>
        </w:rPr>
        <w:t>10.8 乙方未履行或未完整履行本合同约定的义务，除按照合同约定承担违约责任外，还应承担甲方为实现权利、追偿损失支出的包括但不限于诉讼费、仲裁费、鉴定费、律师费、差旅费等费用。</w:t>
      </w:r>
    </w:p>
    <w:p w14:paraId="6A2C61E8">
      <w:pPr>
        <w:numPr>
          <w:ilvl w:val="0"/>
          <w:numId w:val="4"/>
        </w:numPr>
        <w:spacing w:line="360" w:lineRule="auto"/>
        <w:ind w:firstLine="442"/>
        <w:rPr>
          <w:b/>
          <w:bCs/>
          <w:sz w:val="22"/>
          <w:szCs w:val="22"/>
        </w:rPr>
      </w:pPr>
      <w:r>
        <w:rPr>
          <w:b/>
          <w:bCs/>
          <w:sz w:val="22"/>
          <w:szCs w:val="22"/>
        </w:rPr>
        <w:t>不可抗力事件处理</w:t>
      </w:r>
    </w:p>
    <w:p w14:paraId="66685A72">
      <w:pPr>
        <w:spacing w:line="360" w:lineRule="auto"/>
        <w:ind w:firstLine="440"/>
        <w:rPr>
          <w:sz w:val="22"/>
          <w:szCs w:val="22"/>
        </w:rPr>
      </w:pPr>
      <w:r>
        <w:rPr>
          <w:sz w:val="22"/>
          <w:szCs w:val="22"/>
        </w:rPr>
        <w:t>11.1 不可抗力的确认</w:t>
      </w:r>
    </w:p>
    <w:p w14:paraId="5302DDA0">
      <w:pPr>
        <w:spacing w:line="360" w:lineRule="auto"/>
        <w:ind w:firstLine="440"/>
        <w:rPr>
          <w:sz w:val="22"/>
          <w:szCs w:val="22"/>
        </w:rPr>
      </w:pPr>
      <w:r>
        <w:rPr>
          <w:sz w:val="22"/>
          <w:szCs w:val="22"/>
        </w:rPr>
        <w:t>不可抗力是指当事人不能预见，不能避免并不能克服的客观情况。理论上通常认为不可抗力包括：</w:t>
      </w:r>
    </w:p>
    <w:p w14:paraId="35793155">
      <w:pPr>
        <w:spacing w:line="360" w:lineRule="auto"/>
        <w:ind w:firstLine="440"/>
        <w:rPr>
          <w:sz w:val="22"/>
          <w:szCs w:val="22"/>
        </w:rPr>
      </w:pPr>
      <w:r>
        <w:rPr>
          <w:sz w:val="22"/>
          <w:szCs w:val="22"/>
        </w:rPr>
        <w:t>（1）重大的自然灾害。如重大的地震、海啸、台风、海浪、洪水、蝗灾、风暴、冰雹、沙尘暴、火山爆发、山体滑坡、雪崩、泥石流等。</w:t>
      </w:r>
    </w:p>
    <w:p w14:paraId="60E9D8AD">
      <w:pPr>
        <w:spacing w:line="360" w:lineRule="auto"/>
        <w:ind w:firstLine="440"/>
        <w:rPr>
          <w:sz w:val="22"/>
          <w:szCs w:val="22"/>
        </w:rPr>
      </w:pPr>
      <w:r>
        <w:rPr>
          <w:sz w:val="22"/>
          <w:szCs w:val="22"/>
        </w:rPr>
        <w:t>（2）重大的社会非正常事件。这类事件往往指社会异常的、突发的事件，既非自然灾害，也不属于政府行为，如战争、武装冲突、罢工、骚乱、暴动等。这些事件虽然是人为的，但对局外的民事关系的当事人而言，这些事件则是既不能预见也不能避免与克服的，因此属于不可抗力。</w:t>
      </w:r>
    </w:p>
    <w:p w14:paraId="5BC37283">
      <w:pPr>
        <w:spacing w:line="360" w:lineRule="auto"/>
        <w:ind w:firstLine="440"/>
        <w:rPr>
          <w:sz w:val="22"/>
          <w:szCs w:val="22"/>
        </w:rPr>
      </w:pPr>
      <w:r>
        <w:rPr>
          <w:sz w:val="22"/>
          <w:szCs w:val="22"/>
        </w:rPr>
        <w:t>（3）有些情况下，政府行为对民事当事人民事活动的影响，类似于不可抗力，应当比照不可抗力处理。</w:t>
      </w:r>
    </w:p>
    <w:p w14:paraId="1C5EDF8D">
      <w:pPr>
        <w:spacing w:line="360" w:lineRule="auto"/>
        <w:ind w:firstLine="440"/>
        <w:rPr>
          <w:sz w:val="22"/>
          <w:szCs w:val="22"/>
        </w:rPr>
      </w:pPr>
      <w:r>
        <w:rPr>
          <w:sz w:val="22"/>
          <w:szCs w:val="22"/>
        </w:rPr>
        <w:t>11.2 在合同有效期内，任何一方因不可抗力事件导致不能履行合同，则合同履行期可延长，其延长期与不可抗力影响期相同。</w:t>
      </w:r>
    </w:p>
    <w:p w14:paraId="24A5A6E5">
      <w:pPr>
        <w:spacing w:line="360" w:lineRule="auto"/>
        <w:ind w:firstLine="440"/>
        <w:rPr>
          <w:sz w:val="22"/>
          <w:szCs w:val="22"/>
        </w:rPr>
      </w:pPr>
      <w:r>
        <w:rPr>
          <w:sz w:val="22"/>
          <w:szCs w:val="22"/>
        </w:rPr>
        <w:t>11.3 不可抗力事件发生后，应立即通知对方，并寄送有关权威机构出具的证明。</w:t>
      </w:r>
    </w:p>
    <w:p w14:paraId="5DAECD72">
      <w:pPr>
        <w:spacing w:line="360" w:lineRule="auto"/>
        <w:ind w:firstLine="440"/>
        <w:rPr>
          <w:sz w:val="22"/>
          <w:szCs w:val="22"/>
        </w:rPr>
      </w:pPr>
      <w:r>
        <w:rPr>
          <w:sz w:val="22"/>
          <w:szCs w:val="22"/>
        </w:rPr>
        <w:t>11.4 不可抗力事件延续15天以上，双方应通过友好协商，确定是否继续履行合同。</w:t>
      </w:r>
    </w:p>
    <w:p w14:paraId="4100ED74">
      <w:pPr>
        <w:spacing w:line="360" w:lineRule="auto"/>
        <w:ind w:firstLine="442"/>
        <w:rPr>
          <w:b/>
          <w:bCs/>
          <w:sz w:val="22"/>
          <w:szCs w:val="22"/>
        </w:rPr>
      </w:pPr>
      <w:r>
        <w:rPr>
          <w:b/>
          <w:bCs/>
          <w:sz w:val="22"/>
          <w:szCs w:val="22"/>
        </w:rPr>
        <w:t>十二、第三人造成的违约</w:t>
      </w:r>
    </w:p>
    <w:p w14:paraId="08618B9B">
      <w:pPr>
        <w:spacing w:line="360" w:lineRule="auto"/>
        <w:ind w:firstLine="440"/>
        <w:rPr>
          <w:sz w:val="22"/>
          <w:szCs w:val="28"/>
        </w:rPr>
      </w:pPr>
      <w:r>
        <w:rPr>
          <w:sz w:val="22"/>
          <w:szCs w:val="22"/>
        </w:rPr>
        <w:t>在履行合同的过程中，一方当事人因第三人的原因造成违约的，应当向对方当事人承担违约责任。一方当事人和第三人之间的纠纷，依照法律规定或者按照合同约定解决。</w:t>
      </w:r>
    </w:p>
    <w:p w14:paraId="450978C3">
      <w:pPr>
        <w:spacing w:line="360" w:lineRule="auto"/>
        <w:ind w:firstLine="442"/>
        <w:rPr>
          <w:b/>
          <w:bCs/>
          <w:sz w:val="22"/>
          <w:szCs w:val="22"/>
        </w:rPr>
      </w:pPr>
      <w:r>
        <w:rPr>
          <w:b/>
          <w:bCs/>
          <w:sz w:val="22"/>
          <w:szCs w:val="22"/>
        </w:rPr>
        <w:t>十三、诉讼</w:t>
      </w:r>
    </w:p>
    <w:p w14:paraId="1FA8355A">
      <w:pPr>
        <w:spacing w:line="360" w:lineRule="auto"/>
        <w:ind w:firstLine="440"/>
        <w:rPr>
          <w:sz w:val="22"/>
          <w:szCs w:val="22"/>
        </w:rPr>
      </w:pPr>
      <w:r>
        <w:rPr>
          <w:sz w:val="22"/>
          <w:szCs w:val="22"/>
        </w:rPr>
        <w:t>双方在执行合同中所发生的一切争议，应通过协商解决，如协商不成，可向合同签订地有管辖权的法院起诉。</w:t>
      </w:r>
    </w:p>
    <w:p w14:paraId="097D54AB">
      <w:pPr>
        <w:spacing w:line="360" w:lineRule="auto"/>
        <w:ind w:firstLine="442"/>
        <w:rPr>
          <w:b/>
          <w:bCs/>
          <w:sz w:val="22"/>
          <w:szCs w:val="22"/>
        </w:rPr>
      </w:pPr>
      <w:r>
        <w:rPr>
          <w:b/>
          <w:bCs/>
          <w:sz w:val="22"/>
          <w:szCs w:val="22"/>
        </w:rPr>
        <w:t>十四、合同生效及其它</w:t>
      </w:r>
    </w:p>
    <w:p w14:paraId="5ACFA742">
      <w:pPr>
        <w:spacing w:line="360" w:lineRule="auto"/>
        <w:ind w:firstLine="440"/>
        <w:rPr>
          <w:sz w:val="22"/>
          <w:szCs w:val="22"/>
        </w:rPr>
      </w:pPr>
      <w:r>
        <w:rPr>
          <w:sz w:val="22"/>
          <w:szCs w:val="22"/>
        </w:rPr>
        <w:t>14.1 合同经双方法定代表人签字盖章或授权委托代理人签字并加盖单位公章（或合同章）后生效。</w:t>
      </w:r>
    </w:p>
    <w:p w14:paraId="6FDAE03F">
      <w:pPr>
        <w:spacing w:line="360" w:lineRule="auto"/>
        <w:ind w:firstLine="440"/>
        <w:rPr>
          <w:sz w:val="22"/>
          <w:szCs w:val="22"/>
        </w:rPr>
      </w:pPr>
      <w:r>
        <w:rPr>
          <w:sz w:val="22"/>
          <w:szCs w:val="22"/>
        </w:rPr>
        <w:t>14.2 下述合同附件为本合同不可分割的部分并与本合同具有同等效力：</w:t>
      </w:r>
    </w:p>
    <w:p w14:paraId="30890547">
      <w:pPr>
        <w:spacing w:line="360" w:lineRule="auto"/>
        <w:ind w:firstLine="440"/>
        <w:rPr>
          <w:rFonts w:hint="eastAsia" w:ascii="宋体" w:hAnsi="宋体" w:cs="宋体"/>
          <w:sz w:val="22"/>
          <w:szCs w:val="22"/>
        </w:rPr>
      </w:pPr>
      <w:r>
        <w:rPr>
          <w:rFonts w:hint="eastAsia" w:ascii="宋体" w:hAnsi="宋体" w:cs="宋体"/>
          <w:sz w:val="22"/>
          <w:szCs w:val="22"/>
        </w:rPr>
        <w:t>（1）质量保修书（2）廉政合同（</w:t>
      </w:r>
      <w:r>
        <w:rPr>
          <w:rFonts w:ascii="宋体" w:hAnsi="宋体" w:cs="宋体"/>
          <w:sz w:val="22"/>
          <w:szCs w:val="22"/>
        </w:rPr>
        <w:t>3</w:t>
      </w:r>
      <w:r>
        <w:rPr>
          <w:rFonts w:hint="eastAsia" w:ascii="宋体" w:hAnsi="宋体" w:cs="宋体"/>
          <w:sz w:val="22"/>
          <w:szCs w:val="22"/>
        </w:rPr>
        <w:t>）技术规格书（4）其他与本合同相关的资料（5）本合同适用的特殊条款</w:t>
      </w:r>
    </w:p>
    <w:p w14:paraId="0ACBB885">
      <w:pPr>
        <w:spacing w:line="360" w:lineRule="auto"/>
        <w:ind w:firstLine="440"/>
        <w:rPr>
          <w:sz w:val="22"/>
          <w:szCs w:val="22"/>
        </w:rPr>
      </w:pPr>
      <w:r>
        <w:rPr>
          <w:sz w:val="22"/>
          <w:szCs w:val="22"/>
        </w:rPr>
        <w:t>14.3本合同未尽事宜，遵照《民法典》有关条文执行。</w:t>
      </w:r>
    </w:p>
    <w:p w14:paraId="5E9DFDEF">
      <w:pPr>
        <w:spacing w:line="360" w:lineRule="auto"/>
        <w:ind w:firstLine="440"/>
        <w:rPr>
          <w:sz w:val="22"/>
          <w:szCs w:val="22"/>
        </w:rPr>
      </w:pPr>
      <w:r>
        <w:rPr>
          <w:sz w:val="22"/>
          <w:szCs w:val="22"/>
        </w:rPr>
        <w:t>14.4本合同—式</w:t>
      </w:r>
      <w:r>
        <w:rPr>
          <w:sz w:val="22"/>
          <w:szCs w:val="22"/>
          <w:u w:val="single"/>
        </w:rPr>
        <w:t xml:space="preserve">  陆  </w:t>
      </w:r>
      <w:r>
        <w:rPr>
          <w:sz w:val="22"/>
          <w:szCs w:val="22"/>
        </w:rPr>
        <w:t>份，甲方执</w:t>
      </w:r>
      <w:r>
        <w:rPr>
          <w:sz w:val="22"/>
          <w:szCs w:val="22"/>
          <w:u w:val="single"/>
        </w:rPr>
        <w:t xml:space="preserve">  肆  </w:t>
      </w:r>
      <w:r>
        <w:rPr>
          <w:sz w:val="22"/>
          <w:szCs w:val="22"/>
        </w:rPr>
        <w:t>份，乙方执</w:t>
      </w:r>
      <w:r>
        <w:rPr>
          <w:sz w:val="22"/>
          <w:szCs w:val="22"/>
          <w:u w:val="single"/>
        </w:rPr>
        <w:t xml:space="preserve">  贰  </w:t>
      </w:r>
      <w:r>
        <w:rPr>
          <w:sz w:val="22"/>
          <w:szCs w:val="22"/>
        </w:rPr>
        <w:t>份。</w:t>
      </w:r>
    </w:p>
    <w:p w14:paraId="37AA0DDA">
      <w:pPr>
        <w:spacing w:line="360" w:lineRule="auto"/>
        <w:ind w:firstLine="442"/>
        <w:rPr>
          <w:b/>
          <w:bCs/>
          <w:sz w:val="22"/>
          <w:szCs w:val="22"/>
        </w:rPr>
      </w:pPr>
      <w:r>
        <w:rPr>
          <w:b/>
          <w:bCs/>
          <w:sz w:val="22"/>
          <w:szCs w:val="22"/>
        </w:rPr>
        <w:t>十五、签订时间及签订地点</w:t>
      </w:r>
    </w:p>
    <w:p w14:paraId="0A6E9496">
      <w:pPr>
        <w:spacing w:line="360" w:lineRule="auto"/>
        <w:ind w:firstLine="440"/>
        <w:rPr>
          <w:sz w:val="22"/>
          <w:szCs w:val="22"/>
        </w:rPr>
      </w:pPr>
      <w:r>
        <w:rPr>
          <w:sz w:val="22"/>
          <w:szCs w:val="22"/>
        </w:rPr>
        <w:t>15.1合同订立时间：</w:t>
      </w:r>
      <w:r>
        <w:rPr>
          <w:sz w:val="22"/>
          <w:szCs w:val="22"/>
          <w:u w:val="single"/>
        </w:rPr>
        <w:t xml:space="preserve"> </w:t>
      </w:r>
      <w:r>
        <w:rPr>
          <w:rFonts w:hint="eastAsia"/>
          <w:b/>
          <w:bCs/>
          <w:sz w:val="22"/>
          <w:szCs w:val="22"/>
          <w:u w:val="single"/>
          <w:lang w:val="en-US" w:eastAsia="zh-CN"/>
        </w:rPr>
        <w:t xml:space="preserve"> 2025  </w:t>
      </w:r>
      <w:r>
        <w:rPr>
          <w:sz w:val="22"/>
          <w:szCs w:val="22"/>
          <w:u w:val="single"/>
        </w:rPr>
        <w:t xml:space="preserve"> </w:t>
      </w:r>
      <w:r>
        <w:rPr>
          <w:sz w:val="22"/>
          <w:szCs w:val="22"/>
        </w:rPr>
        <w:t>年</w:t>
      </w:r>
      <w:r>
        <w:rPr>
          <w:sz w:val="22"/>
          <w:szCs w:val="22"/>
          <w:u w:val="single"/>
        </w:rPr>
        <w:t xml:space="preserve"> </w:t>
      </w:r>
      <w:r>
        <w:rPr>
          <w:b/>
          <w:bCs/>
          <w:sz w:val="22"/>
          <w:szCs w:val="22"/>
          <w:u w:val="single"/>
        </w:rPr>
        <w:t xml:space="preserve"> </w:t>
      </w:r>
      <w:r>
        <w:rPr>
          <w:rFonts w:hint="eastAsia"/>
          <w:b/>
          <w:bCs/>
          <w:sz w:val="22"/>
          <w:szCs w:val="22"/>
          <w:u w:val="single"/>
          <w:lang w:val="en-US" w:eastAsia="zh-CN"/>
        </w:rPr>
        <w:t>9</w:t>
      </w:r>
      <w:r>
        <w:rPr>
          <w:b/>
          <w:bCs/>
          <w:sz w:val="22"/>
          <w:szCs w:val="22"/>
          <w:u w:val="single"/>
        </w:rPr>
        <w:t xml:space="preserve"> </w:t>
      </w:r>
      <w:r>
        <w:rPr>
          <w:sz w:val="22"/>
          <w:szCs w:val="22"/>
          <w:u w:val="single"/>
        </w:rPr>
        <w:t xml:space="preserve"> </w:t>
      </w:r>
      <w:r>
        <w:rPr>
          <w:sz w:val="22"/>
          <w:szCs w:val="22"/>
        </w:rPr>
        <w:t>月</w:t>
      </w:r>
      <w:r>
        <w:rPr>
          <w:sz w:val="22"/>
          <w:szCs w:val="22"/>
          <w:u w:val="single"/>
        </w:rPr>
        <w:t xml:space="preserve"> </w:t>
      </w:r>
      <w:r>
        <w:rPr>
          <w:b/>
          <w:bCs/>
          <w:sz w:val="22"/>
          <w:szCs w:val="22"/>
          <w:u w:val="single"/>
        </w:rPr>
        <w:t xml:space="preserve">  </w:t>
      </w:r>
      <w:r>
        <w:rPr>
          <w:sz w:val="22"/>
          <w:szCs w:val="22"/>
          <w:u w:val="single"/>
        </w:rPr>
        <w:t xml:space="preserve"> </w:t>
      </w:r>
      <w:r>
        <w:rPr>
          <w:sz w:val="22"/>
          <w:szCs w:val="22"/>
        </w:rPr>
        <w:t>日，合同订立地点：连云港市徐圩新区。</w:t>
      </w:r>
    </w:p>
    <w:p w14:paraId="393E522F">
      <w:pPr>
        <w:spacing w:line="360" w:lineRule="auto"/>
        <w:ind w:firstLine="440"/>
        <w:rPr>
          <w:sz w:val="22"/>
          <w:szCs w:val="22"/>
        </w:rPr>
      </w:pPr>
      <w:r>
        <w:rPr>
          <w:sz w:val="22"/>
          <w:szCs w:val="22"/>
        </w:rPr>
        <w:t>15.2 本合同双方约定签字盖章后生效。</w:t>
      </w:r>
    </w:p>
    <w:tbl>
      <w:tblPr>
        <w:tblStyle w:val="48"/>
        <w:tblW w:w="0" w:type="auto"/>
        <w:jc w:val="center"/>
        <w:tblLayout w:type="fixed"/>
        <w:tblCellMar>
          <w:top w:w="0" w:type="dxa"/>
          <w:left w:w="108" w:type="dxa"/>
          <w:bottom w:w="0" w:type="dxa"/>
          <w:right w:w="108" w:type="dxa"/>
        </w:tblCellMar>
      </w:tblPr>
      <w:tblGrid>
        <w:gridCol w:w="4598"/>
        <w:gridCol w:w="4522"/>
      </w:tblGrid>
      <w:tr w14:paraId="6ACD3FC5">
        <w:tblPrEx>
          <w:tblCellMar>
            <w:top w:w="0" w:type="dxa"/>
            <w:left w:w="108" w:type="dxa"/>
            <w:bottom w:w="0" w:type="dxa"/>
            <w:right w:w="108" w:type="dxa"/>
          </w:tblCellMar>
        </w:tblPrEx>
        <w:trPr>
          <w:trHeight w:val="565" w:hRule="atLeast"/>
          <w:jc w:val="center"/>
        </w:trPr>
        <w:tc>
          <w:tcPr>
            <w:tcW w:w="4598" w:type="dxa"/>
          </w:tcPr>
          <w:p w14:paraId="17D6A91A">
            <w:pPr>
              <w:spacing w:before="100" w:after="100" w:line="360" w:lineRule="auto"/>
              <w:ind w:firstLine="440"/>
              <w:rPr>
                <w:sz w:val="22"/>
                <w:szCs w:val="22"/>
              </w:rPr>
            </w:pPr>
            <w:r>
              <w:rPr>
                <w:rFonts w:hint="eastAsia"/>
                <w:sz w:val="22"/>
                <w:szCs w:val="22"/>
              </w:rPr>
              <w:t>甲方</w:t>
            </w:r>
            <w:r>
              <w:rPr>
                <w:sz w:val="22"/>
                <w:szCs w:val="22"/>
              </w:rPr>
              <w:t>（盖章）：</w:t>
            </w:r>
          </w:p>
        </w:tc>
        <w:tc>
          <w:tcPr>
            <w:tcW w:w="4522" w:type="dxa"/>
          </w:tcPr>
          <w:p w14:paraId="18FC6EDF">
            <w:pPr>
              <w:spacing w:before="100" w:after="100" w:line="360" w:lineRule="auto"/>
              <w:ind w:firstLine="440"/>
              <w:rPr>
                <w:sz w:val="22"/>
                <w:szCs w:val="22"/>
              </w:rPr>
            </w:pPr>
            <w:r>
              <w:rPr>
                <w:rFonts w:hint="eastAsia"/>
                <w:sz w:val="22"/>
                <w:szCs w:val="22"/>
              </w:rPr>
              <w:t>乙方</w:t>
            </w:r>
            <w:r>
              <w:rPr>
                <w:sz w:val="22"/>
                <w:szCs w:val="22"/>
              </w:rPr>
              <w:t>（盖章）：</w:t>
            </w:r>
          </w:p>
        </w:tc>
      </w:tr>
      <w:tr w14:paraId="60703152">
        <w:tblPrEx>
          <w:tblCellMar>
            <w:top w:w="0" w:type="dxa"/>
            <w:left w:w="108" w:type="dxa"/>
            <w:bottom w:w="0" w:type="dxa"/>
            <w:right w:w="108" w:type="dxa"/>
          </w:tblCellMar>
        </w:tblPrEx>
        <w:trPr>
          <w:trHeight w:val="565" w:hRule="atLeast"/>
          <w:jc w:val="center"/>
        </w:trPr>
        <w:tc>
          <w:tcPr>
            <w:tcW w:w="4598" w:type="dxa"/>
          </w:tcPr>
          <w:p w14:paraId="40C1093D">
            <w:pPr>
              <w:spacing w:line="360" w:lineRule="auto"/>
              <w:ind w:firstLine="440"/>
              <w:rPr>
                <w:sz w:val="22"/>
                <w:szCs w:val="28"/>
              </w:rPr>
            </w:pPr>
            <w:r>
              <w:rPr>
                <w:sz w:val="22"/>
                <w:szCs w:val="28"/>
              </w:rPr>
              <w:t>法定代表人或</w:t>
            </w:r>
          </w:p>
          <w:p w14:paraId="18585D60">
            <w:pPr>
              <w:spacing w:line="360" w:lineRule="auto"/>
              <w:ind w:firstLine="440"/>
              <w:rPr>
                <w:sz w:val="22"/>
                <w:szCs w:val="28"/>
              </w:rPr>
            </w:pPr>
            <w:r>
              <w:rPr>
                <w:sz w:val="22"/>
                <w:szCs w:val="28"/>
              </w:rPr>
              <w:t>其委托代理人:</w:t>
            </w:r>
          </w:p>
          <w:p w14:paraId="3106FA01">
            <w:pPr>
              <w:spacing w:before="60" w:line="360" w:lineRule="auto"/>
              <w:ind w:firstLine="440"/>
              <w:rPr>
                <w:sz w:val="22"/>
                <w:szCs w:val="28"/>
              </w:rPr>
            </w:pPr>
            <w:r>
              <w:rPr>
                <w:sz w:val="22"/>
              </w:rPr>
              <w:t>项目负责人：</w:t>
            </w:r>
          </w:p>
        </w:tc>
        <w:tc>
          <w:tcPr>
            <w:tcW w:w="4522" w:type="dxa"/>
          </w:tcPr>
          <w:p w14:paraId="36423F34">
            <w:pPr>
              <w:spacing w:line="360" w:lineRule="auto"/>
              <w:ind w:firstLine="440"/>
              <w:rPr>
                <w:bCs/>
                <w:sz w:val="22"/>
                <w:szCs w:val="22"/>
              </w:rPr>
            </w:pPr>
            <w:r>
              <w:rPr>
                <w:sz w:val="22"/>
                <w:szCs w:val="22"/>
              </w:rPr>
              <w:t>法定代表人（签字或盖章）:</w:t>
            </w:r>
          </w:p>
        </w:tc>
      </w:tr>
      <w:tr w14:paraId="1F9B5FE3">
        <w:tblPrEx>
          <w:tblCellMar>
            <w:top w:w="0" w:type="dxa"/>
            <w:left w:w="108" w:type="dxa"/>
            <w:bottom w:w="0" w:type="dxa"/>
            <w:right w:w="108" w:type="dxa"/>
          </w:tblCellMar>
        </w:tblPrEx>
        <w:trPr>
          <w:trHeight w:val="565" w:hRule="atLeast"/>
          <w:jc w:val="center"/>
        </w:trPr>
        <w:tc>
          <w:tcPr>
            <w:tcW w:w="4598" w:type="dxa"/>
          </w:tcPr>
          <w:p w14:paraId="50E263AE">
            <w:pPr>
              <w:spacing w:line="360" w:lineRule="auto"/>
              <w:ind w:firstLine="440"/>
              <w:rPr>
                <w:bCs/>
                <w:sz w:val="22"/>
                <w:szCs w:val="22"/>
              </w:rPr>
            </w:pPr>
            <w:r>
              <w:rPr>
                <w:bCs/>
                <w:sz w:val="22"/>
                <w:szCs w:val="22"/>
              </w:rPr>
              <w:t>社会信用代码：91320700MA1MN2A899</w:t>
            </w:r>
          </w:p>
        </w:tc>
        <w:tc>
          <w:tcPr>
            <w:tcW w:w="4522" w:type="dxa"/>
          </w:tcPr>
          <w:p w14:paraId="5B31D4E7">
            <w:pPr>
              <w:spacing w:line="360" w:lineRule="auto"/>
              <w:ind w:firstLine="440"/>
              <w:rPr>
                <w:bCs/>
                <w:sz w:val="22"/>
                <w:szCs w:val="22"/>
              </w:rPr>
            </w:pPr>
            <w:r>
              <w:rPr>
                <w:bCs/>
                <w:sz w:val="22"/>
                <w:szCs w:val="22"/>
              </w:rPr>
              <w:t>社会信用代码：</w:t>
            </w:r>
          </w:p>
        </w:tc>
      </w:tr>
      <w:tr w14:paraId="2A40207C">
        <w:tblPrEx>
          <w:tblCellMar>
            <w:top w:w="0" w:type="dxa"/>
            <w:left w:w="108" w:type="dxa"/>
            <w:bottom w:w="0" w:type="dxa"/>
            <w:right w:w="108" w:type="dxa"/>
          </w:tblCellMar>
        </w:tblPrEx>
        <w:trPr>
          <w:trHeight w:val="565" w:hRule="atLeast"/>
          <w:jc w:val="center"/>
        </w:trPr>
        <w:tc>
          <w:tcPr>
            <w:tcW w:w="4598" w:type="dxa"/>
          </w:tcPr>
          <w:p w14:paraId="3C992191">
            <w:pPr>
              <w:spacing w:line="360" w:lineRule="auto"/>
              <w:ind w:left="1300" w:leftChars="200" w:hanging="880" w:hangingChars="400"/>
              <w:rPr>
                <w:bCs/>
                <w:sz w:val="22"/>
                <w:szCs w:val="22"/>
              </w:rPr>
            </w:pPr>
            <w:r>
              <w:rPr>
                <w:bCs/>
                <w:sz w:val="22"/>
                <w:szCs w:val="22"/>
              </w:rPr>
              <w:t>地  址：连云港市徐圩新区江苏大道506号</w:t>
            </w:r>
          </w:p>
        </w:tc>
        <w:tc>
          <w:tcPr>
            <w:tcW w:w="4522" w:type="dxa"/>
          </w:tcPr>
          <w:p w14:paraId="2453F6A1">
            <w:pPr>
              <w:spacing w:line="360" w:lineRule="auto"/>
              <w:ind w:left="1520" w:leftChars="200" w:hanging="1100" w:hangingChars="500"/>
              <w:rPr>
                <w:bCs/>
                <w:sz w:val="22"/>
                <w:szCs w:val="22"/>
              </w:rPr>
            </w:pPr>
            <w:r>
              <w:rPr>
                <w:bCs/>
                <w:sz w:val="22"/>
                <w:szCs w:val="22"/>
              </w:rPr>
              <w:t>地  址：</w:t>
            </w:r>
          </w:p>
        </w:tc>
      </w:tr>
      <w:tr w14:paraId="22871CEB">
        <w:tblPrEx>
          <w:tblCellMar>
            <w:top w:w="0" w:type="dxa"/>
            <w:left w:w="108" w:type="dxa"/>
            <w:bottom w:w="0" w:type="dxa"/>
            <w:right w:w="108" w:type="dxa"/>
          </w:tblCellMar>
        </w:tblPrEx>
        <w:trPr>
          <w:trHeight w:val="565" w:hRule="atLeast"/>
          <w:jc w:val="center"/>
        </w:trPr>
        <w:tc>
          <w:tcPr>
            <w:tcW w:w="4598" w:type="dxa"/>
          </w:tcPr>
          <w:p w14:paraId="38FE6A76">
            <w:pPr>
              <w:spacing w:line="360" w:lineRule="auto"/>
              <w:ind w:firstLine="440"/>
              <w:rPr>
                <w:bCs/>
                <w:sz w:val="22"/>
                <w:szCs w:val="22"/>
              </w:rPr>
            </w:pPr>
            <w:r>
              <w:rPr>
                <w:bCs/>
                <w:sz w:val="22"/>
                <w:szCs w:val="22"/>
              </w:rPr>
              <w:t>法定代表人：万法林</w:t>
            </w:r>
          </w:p>
        </w:tc>
        <w:tc>
          <w:tcPr>
            <w:tcW w:w="4522" w:type="dxa"/>
          </w:tcPr>
          <w:p w14:paraId="7006BEA5">
            <w:pPr>
              <w:spacing w:line="360" w:lineRule="auto"/>
              <w:ind w:firstLine="440"/>
              <w:rPr>
                <w:bCs/>
                <w:sz w:val="22"/>
                <w:szCs w:val="22"/>
              </w:rPr>
            </w:pPr>
            <w:r>
              <w:rPr>
                <w:bCs/>
                <w:sz w:val="22"/>
                <w:szCs w:val="22"/>
              </w:rPr>
              <w:t>法定代表人：</w:t>
            </w:r>
          </w:p>
        </w:tc>
      </w:tr>
      <w:tr w14:paraId="62266DA6">
        <w:tblPrEx>
          <w:tblCellMar>
            <w:top w:w="0" w:type="dxa"/>
            <w:left w:w="108" w:type="dxa"/>
            <w:bottom w:w="0" w:type="dxa"/>
            <w:right w:w="108" w:type="dxa"/>
          </w:tblCellMar>
        </w:tblPrEx>
        <w:trPr>
          <w:trHeight w:val="565" w:hRule="atLeast"/>
          <w:jc w:val="center"/>
        </w:trPr>
        <w:tc>
          <w:tcPr>
            <w:tcW w:w="4598" w:type="dxa"/>
          </w:tcPr>
          <w:p w14:paraId="10B80E75">
            <w:pPr>
              <w:snapToGrid w:val="0"/>
              <w:spacing w:line="360" w:lineRule="auto"/>
              <w:ind w:firstLine="440"/>
              <w:rPr>
                <w:bCs/>
                <w:sz w:val="22"/>
                <w:szCs w:val="22"/>
              </w:rPr>
            </w:pPr>
            <w:r>
              <w:rPr>
                <w:bCs/>
                <w:sz w:val="22"/>
                <w:szCs w:val="22"/>
              </w:rPr>
              <w:t>开户银行：建行徐圩支行</w:t>
            </w:r>
          </w:p>
        </w:tc>
        <w:tc>
          <w:tcPr>
            <w:tcW w:w="4522" w:type="dxa"/>
          </w:tcPr>
          <w:p w14:paraId="09AF1107">
            <w:pPr>
              <w:snapToGrid w:val="0"/>
              <w:spacing w:line="360" w:lineRule="auto"/>
              <w:ind w:left="1520" w:leftChars="200" w:hanging="1100" w:hangingChars="500"/>
              <w:rPr>
                <w:bCs/>
                <w:sz w:val="22"/>
                <w:szCs w:val="22"/>
              </w:rPr>
            </w:pPr>
            <w:r>
              <w:rPr>
                <w:bCs/>
                <w:sz w:val="22"/>
                <w:szCs w:val="22"/>
              </w:rPr>
              <w:t>开户银行：</w:t>
            </w:r>
          </w:p>
        </w:tc>
      </w:tr>
      <w:tr w14:paraId="07F8A73C">
        <w:tblPrEx>
          <w:tblCellMar>
            <w:top w:w="0" w:type="dxa"/>
            <w:left w:w="108" w:type="dxa"/>
            <w:bottom w:w="0" w:type="dxa"/>
            <w:right w:w="108" w:type="dxa"/>
          </w:tblCellMar>
        </w:tblPrEx>
        <w:trPr>
          <w:trHeight w:val="565" w:hRule="atLeast"/>
          <w:jc w:val="center"/>
        </w:trPr>
        <w:tc>
          <w:tcPr>
            <w:tcW w:w="4598" w:type="dxa"/>
          </w:tcPr>
          <w:p w14:paraId="7D9B7CE3">
            <w:pPr>
              <w:snapToGrid w:val="0"/>
              <w:spacing w:line="360" w:lineRule="auto"/>
              <w:ind w:firstLine="440"/>
              <w:rPr>
                <w:bCs/>
                <w:sz w:val="22"/>
                <w:szCs w:val="22"/>
              </w:rPr>
            </w:pPr>
            <w:r>
              <w:rPr>
                <w:bCs/>
                <w:sz w:val="22"/>
                <w:szCs w:val="22"/>
              </w:rPr>
              <w:t>账  号：32050110472800000009</w:t>
            </w:r>
          </w:p>
        </w:tc>
        <w:tc>
          <w:tcPr>
            <w:tcW w:w="4522" w:type="dxa"/>
          </w:tcPr>
          <w:p w14:paraId="240D93B4">
            <w:pPr>
              <w:snapToGrid w:val="0"/>
              <w:spacing w:line="360" w:lineRule="auto"/>
              <w:ind w:firstLine="440"/>
              <w:rPr>
                <w:bCs/>
                <w:sz w:val="22"/>
                <w:szCs w:val="22"/>
              </w:rPr>
            </w:pPr>
            <w:r>
              <w:rPr>
                <w:bCs/>
                <w:sz w:val="22"/>
                <w:szCs w:val="22"/>
              </w:rPr>
              <w:t>账  号：</w:t>
            </w:r>
          </w:p>
        </w:tc>
      </w:tr>
    </w:tbl>
    <w:p w14:paraId="6DAB6A31">
      <w:pPr>
        <w:ind w:firstLine="480"/>
        <w:rPr>
          <w:sz w:val="24"/>
        </w:rPr>
        <w:sectPr>
          <w:footerReference r:id="rId11" w:type="default"/>
          <w:pgSz w:w="11905" w:h="16838"/>
          <w:pgMar w:top="1440" w:right="1803" w:bottom="1440" w:left="1803" w:header="850" w:footer="850" w:gutter="0"/>
          <w:pgNumType w:start="3"/>
          <w:cols w:space="0" w:num="1"/>
          <w:docGrid w:linePitch="312" w:charSpace="0"/>
        </w:sectPr>
      </w:pPr>
    </w:p>
    <w:p w14:paraId="15FA8CB7">
      <w:pPr>
        <w:pStyle w:val="34"/>
        <w:spacing w:before="60" w:after="0"/>
        <w:ind w:firstLine="0" w:firstLineChars="0"/>
        <w:jc w:val="both"/>
        <w:outlineLvl w:val="1"/>
        <w:rPr>
          <w:rFonts w:ascii="黑体" w:hAnsi="黑体" w:eastAsia="黑体" w:cs="黑体"/>
          <w:b w:val="0"/>
          <w:caps w:val="0"/>
          <w:sz w:val="28"/>
          <w:szCs w:val="28"/>
        </w:rPr>
      </w:pPr>
      <w:r>
        <w:rPr>
          <w:rFonts w:ascii="黑体" w:hAnsi="黑体" w:eastAsia="黑体" w:cs="黑体"/>
          <w:b w:val="0"/>
          <w:caps w:val="0"/>
          <w:sz w:val="28"/>
          <w:szCs w:val="28"/>
        </w:rPr>
        <w:t>附件1</w:t>
      </w:r>
    </w:p>
    <w:p w14:paraId="201B0564">
      <w:pPr>
        <w:keepNext/>
        <w:keepLines/>
        <w:spacing w:line="360" w:lineRule="auto"/>
        <w:ind w:firstLine="562"/>
        <w:jc w:val="center"/>
        <w:outlineLvl w:val="2"/>
        <w:rPr>
          <w:b/>
          <w:szCs w:val="21"/>
        </w:rPr>
      </w:pPr>
      <w:bookmarkStart w:id="189" w:name="_Toc25638"/>
      <w:bookmarkStart w:id="190" w:name="_Toc13223"/>
      <w:bookmarkStart w:id="191" w:name="_Toc2384"/>
      <w:bookmarkStart w:id="192" w:name="_Toc2635"/>
      <w:bookmarkStart w:id="193" w:name="_Toc30984"/>
      <w:bookmarkStart w:id="194" w:name="_Toc32519"/>
      <w:bookmarkStart w:id="195" w:name="_Toc3798"/>
      <w:bookmarkStart w:id="196" w:name="_Toc32596"/>
      <w:bookmarkStart w:id="197" w:name="_Toc732"/>
      <w:bookmarkStart w:id="198" w:name="_Toc28454"/>
      <w:bookmarkStart w:id="199" w:name="_Toc17389"/>
      <w:bookmarkStart w:id="200" w:name="_Toc25887"/>
      <w:bookmarkStart w:id="201" w:name="_Toc1570"/>
      <w:r>
        <w:rPr>
          <w:b/>
          <w:sz w:val="28"/>
          <w:szCs w:val="28"/>
        </w:rPr>
        <w:t>质量保修书</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7B19A739">
      <w:pPr>
        <w:adjustRightInd w:val="0"/>
        <w:snapToGrid w:val="0"/>
        <w:spacing w:line="360" w:lineRule="auto"/>
        <w:ind w:firstLine="0" w:firstLineChars="0"/>
        <w:rPr>
          <w:bCs/>
          <w:szCs w:val="21"/>
          <w:u w:val="single"/>
        </w:rPr>
      </w:pPr>
      <w:r>
        <w:rPr>
          <w:bCs/>
          <w:szCs w:val="21"/>
        </w:rPr>
        <w:t>甲方（全称）：</w:t>
      </w:r>
      <w:r>
        <w:rPr>
          <w:bCs/>
          <w:szCs w:val="21"/>
          <w:u w:val="single"/>
        </w:rPr>
        <w:t>江苏方洋能源科技有限公司</w:t>
      </w:r>
    </w:p>
    <w:p w14:paraId="1B95B645">
      <w:pPr>
        <w:adjustRightInd w:val="0"/>
        <w:snapToGrid w:val="0"/>
        <w:spacing w:line="360" w:lineRule="auto"/>
        <w:ind w:firstLine="0" w:firstLineChars="0"/>
        <w:rPr>
          <w:bCs/>
          <w:szCs w:val="21"/>
          <w:u w:val="single"/>
        </w:rPr>
      </w:pPr>
      <w:r>
        <w:rPr>
          <w:bCs/>
          <w:szCs w:val="21"/>
        </w:rPr>
        <w:t>乙方（全称）：</w:t>
      </w:r>
      <w:r>
        <w:rPr>
          <w:bCs/>
          <w:szCs w:val="21"/>
          <w:u w:val="single"/>
        </w:rPr>
        <w:t xml:space="preserve">                        </w:t>
      </w:r>
    </w:p>
    <w:p w14:paraId="4DDCACDE">
      <w:pPr>
        <w:adjustRightInd w:val="0"/>
        <w:snapToGrid w:val="0"/>
        <w:spacing w:line="360" w:lineRule="auto"/>
        <w:ind w:firstLine="420"/>
        <w:rPr>
          <w:bCs/>
          <w:szCs w:val="21"/>
        </w:rPr>
      </w:pPr>
      <w:r>
        <w:rPr>
          <w:bCs/>
          <w:szCs w:val="21"/>
        </w:rPr>
        <w:t>甲方和乙方经协商一致就</w:t>
      </w:r>
      <w:r>
        <w:rPr>
          <w:rFonts w:hint="eastAsia"/>
          <w:bCs/>
          <w:szCs w:val="21"/>
          <w:u w:val="single"/>
          <w:lang w:eastAsia="zh-CN"/>
        </w:rPr>
        <w:t>徐圩新区增量配电网输配电线路防外破改造施工回流线采购</w:t>
      </w:r>
      <w:r>
        <w:rPr>
          <w:bCs/>
          <w:szCs w:val="21"/>
        </w:rPr>
        <w:t>签订质量保修书。</w:t>
      </w:r>
    </w:p>
    <w:p w14:paraId="63B2EC4E">
      <w:pPr>
        <w:adjustRightInd w:val="0"/>
        <w:snapToGrid w:val="0"/>
        <w:spacing w:line="360" w:lineRule="auto"/>
        <w:ind w:firstLine="420"/>
        <w:rPr>
          <w:szCs w:val="21"/>
        </w:rPr>
      </w:pPr>
      <w:r>
        <w:rPr>
          <w:szCs w:val="21"/>
        </w:rPr>
        <w:t>一、货物质量保修范围和内容</w:t>
      </w:r>
    </w:p>
    <w:p w14:paraId="47C07489">
      <w:pPr>
        <w:adjustRightInd w:val="0"/>
        <w:snapToGrid w:val="0"/>
        <w:spacing w:line="360" w:lineRule="auto"/>
        <w:ind w:firstLine="420"/>
        <w:rPr>
          <w:bCs/>
          <w:szCs w:val="21"/>
        </w:rPr>
      </w:pPr>
      <w:r>
        <w:rPr>
          <w:bCs/>
          <w:szCs w:val="21"/>
        </w:rPr>
        <w:t>乙方在质量保修期内，按照有关法律规定和合同约定，承担</w:t>
      </w:r>
      <w:r>
        <w:rPr>
          <w:rFonts w:hint="eastAsia"/>
          <w:bCs/>
          <w:szCs w:val="21"/>
          <w:u w:val="single"/>
          <w:lang w:eastAsia="zh-CN"/>
        </w:rPr>
        <w:t>徐圩新区增量配电网输配电线路防外破改造施工回流线采购</w:t>
      </w:r>
      <w:r>
        <w:rPr>
          <w:bCs/>
          <w:szCs w:val="21"/>
        </w:rPr>
        <w:t>质量保修责任。</w:t>
      </w:r>
    </w:p>
    <w:p w14:paraId="59559710">
      <w:pPr>
        <w:adjustRightInd w:val="0"/>
        <w:snapToGrid w:val="0"/>
        <w:spacing w:line="360" w:lineRule="auto"/>
        <w:ind w:firstLine="420"/>
        <w:rPr>
          <w:bCs/>
          <w:szCs w:val="21"/>
        </w:rPr>
      </w:pPr>
      <w:r>
        <w:rPr>
          <w:bCs/>
          <w:szCs w:val="21"/>
        </w:rPr>
        <w:t>质量保修范围：本合同范围内的所有内容。</w:t>
      </w:r>
    </w:p>
    <w:p w14:paraId="31DA80AE">
      <w:pPr>
        <w:adjustRightInd w:val="0"/>
        <w:snapToGrid w:val="0"/>
        <w:spacing w:line="360" w:lineRule="auto"/>
        <w:ind w:firstLine="420"/>
        <w:rPr>
          <w:szCs w:val="21"/>
        </w:rPr>
      </w:pPr>
      <w:r>
        <w:rPr>
          <w:szCs w:val="21"/>
        </w:rPr>
        <w:t>二、质量保修期</w:t>
      </w:r>
    </w:p>
    <w:p w14:paraId="2C6ECA1A">
      <w:pPr>
        <w:adjustRightInd w:val="0"/>
        <w:snapToGrid w:val="0"/>
        <w:spacing w:line="360" w:lineRule="auto"/>
        <w:ind w:firstLine="420"/>
        <w:rPr>
          <w:bCs/>
          <w:szCs w:val="21"/>
        </w:rPr>
      </w:pPr>
      <w:r>
        <w:rPr>
          <w:bCs/>
          <w:szCs w:val="21"/>
        </w:rPr>
        <w:t>质量保修期为</w:t>
      </w:r>
      <w:r>
        <w:rPr>
          <w:bCs/>
          <w:szCs w:val="21"/>
          <w:u w:val="single"/>
        </w:rPr>
        <w:t xml:space="preserve"> 2 </w:t>
      </w:r>
      <w:r>
        <w:rPr>
          <w:bCs/>
          <w:szCs w:val="21"/>
        </w:rPr>
        <w:t>年，自最后一批货物交货验收合格之日起计。</w:t>
      </w:r>
    </w:p>
    <w:p w14:paraId="06DF28CF">
      <w:pPr>
        <w:adjustRightInd w:val="0"/>
        <w:snapToGrid w:val="0"/>
        <w:spacing w:line="360" w:lineRule="auto"/>
        <w:ind w:firstLine="420"/>
        <w:rPr>
          <w:szCs w:val="21"/>
        </w:rPr>
      </w:pPr>
      <w:r>
        <w:rPr>
          <w:szCs w:val="21"/>
        </w:rPr>
        <w:t>四、质量保修责任</w:t>
      </w:r>
    </w:p>
    <w:p w14:paraId="646FBCB3">
      <w:pPr>
        <w:adjustRightInd w:val="0"/>
        <w:snapToGrid w:val="0"/>
        <w:spacing w:line="360" w:lineRule="auto"/>
        <w:ind w:firstLine="420"/>
        <w:rPr>
          <w:bCs/>
          <w:szCs w:val="21"/>
        </w:rPr>
      </w:pPr>
      <w:r>
        <w:rPr>
          <w:bCs/>
          <w:szCs w:val="21"/>
        </w:rPr>
        <w:t>1．属于保修范围和内容的项目，乙方应在接到修理通知之日后</w:t>
      </w:r>
      <w:r>
        <w:rPr>
          <w:bCs/>
          <w:szCs w:val="21"/>
          <w:u w:val="single"/>
        </w:rPr>
        <w:t>5</w:t>
      </w:r>
      <w:r>
        <w:rPr>
          <w:bCs/>
          <w:szCs w:val="21"/>
        </w:rPr>
        <w:t>日内派人修理。乙方不在约定期限内派人修理，甲方可委托其他人员修理，保修费用从质量保修金内扣除。</w:t>
      </w:r>
    </w:p>
    <w:p w14:paraId="728D9A34">
      <w:pPr>
        <w:adjustRightInd w:val="0"/>
        <w:snapToGrid w:val="0"/>
        <w:spacing w:line="360" w:lineRule="auto"/>
        <w:ind w:firstLine="420"/>
        <w:rPr>
          <w:bCs/>
          <w:szCs w:val="21"/>
        </w:rPr>
      </w:pPr>
      <w:r>
        <w:rPr>
          <w:bCs/>
          <w:szCs w:val="21"/>
        </w:rPr>
        <w:t>2．发生须紧急抢修事故，乙方接到事故通知后，应立即到达事故现场抢修。非乙方质量引起的事故，抢修费用由甲方承担。</w:t>
      </w:r>
    </w:p>
    <w:p w14:paraId="62682F37">
      <w:pPr>
        <w:adjustRightInd w:val="0"/>
        <w:snapToGrid w:val="0"/>
        <w:spacing w:line="360" w:lineRule="auto"/>
        <w:ind w:firstLine="420"/>
        <w:rPr>
          <w:bCs/>
          <w:szCs w:val="21"/>
        </w:rPr>
      </w:pPr>
      <w:r>
        <w:rPr>
          <w:bCs/>
          <w:szCs w:val="21"/>
        </w:rPr>
        <w:t>3．在国家规定的合理使用期限内，乙方确保产品质量合格。因乙方致使产品在合理使用期限内造成人身和财产损害的，乙方应承担损害赔偿责任。</w:t>
      </w:r>
    </w:p>
    <w:p w14:paraId="606CB084">
      <w:pPr>
        <w:adjustRightInd w:val="0"/>
        <w:snapToGrid w:val="0"/>
        <w:spacing w:line="360" w:lineRule="auto"/>
        <w:ind w:firstLine="420"/>
        <w:rPr>
          <w:bCs/>
          <w:szCs w:val="21"/>
        </w:rPr>
      </w:pPr>
      <w:r>
        <w:rPr>
          <w:bCs/>
          <w:szCs w:val="21"/>
        </w:rPr>
        <w:t>4．质量保修完成后，由甲方组织验收。</w:t>
      </w:r>
    </w:p>
    <w:p w14:paraId="626A7339">
      <w:pPr>
        <w:adjustRightInd w:val="0"/>
        <w:snapToGrid w:val="0"/>
        <w:spacing w:line="360" w:lineRule="auto"/>
        <w:ind w:firstLine="420"/>
        <w:rPr>
          <w:szCs w:val="21"/>
        </w:rPr>
      </w:pPr>
      <w:r>
        <w:rPr>
          <w:szCs w:val="21"/>
        </w:rPr>
        <w:t>五、保修费用</w:t>
      </w:r>
    </w:p>
    <w:p w14:paraId="78713087">
      <w:pPr>
        <w:adjustRightInd w:val="0"/>
        <w:snapToGrid w:val="0"/>
        <w:spacing w:line="360" w:lineRule="auto"/>
        <w:ind w:firstLine="420"/>
        <w:rPr>
          <w:bCs/>
          <w:szCs w:val="21"/>
        </w:rPr>
      </w:pPr>
      <w:r>
        <w:rPr>
          <w:bCs/>
          <w:szCs w:val="21"/>
        </w:rPr>
        <w:t>保修费用由造成质量缺陷的责任方承担。</w:t>
      </w:r>
    </w:p>
    <w:p w14:paraId="2D7464A4">
      <w:pPr>
        <w:adjustRightInd w:val="0"/>
        <w:snapToGrid w:val="0"/>
        <w:spacing w:line="360" w:lineRule="auto"/>
        <w:ind w:firstLine="420"/>
        <w:rPr>
          <w:szCs w:val="21"/>
        </w:rPr>
      </w:pPr>
      <w:r>
        <w:rPr>
          <w:szCs w:val="21"/>
        </w:rPr>
        <w:t>六、双方约定的其他产品质量保修事项：</w:t>
      </w:r>
    </w:p>
    <w:p w14:paraId="6162CCA0">
      <w:pPr>
        <w:adjustRightInd w:val="0"/>
        <w:snapToGrid w:val="0"/>
        <w:spacing w:line="360" w:lineRule="auto"/>
        <w:ind w:firstLine="420"/>
        <w:rPr>
          <w:bCs/>
          <w:szCs w:val="21"/>
        </w:rPr>
      </w:pPr>
      <w:r>
        <w:rPr>
          <w:bCs/>
          <w:szCs w:val="21"/>
        </w:rPr>
        <w:t>质量保修书由甲方、乙方在验收前共同签署，作为采购合同附件，其有效期限至保修期满。</w:t>
      </w:r>
    </w:p>
    <w:p w14:paraId="2FAE8EF3">
      <w:pPr>
        <w:keepNext/>
        <w:keepLines/>
        <w:spacing w:line="360" w:lineRule="auto"/>
        <w:ind w:firstLine="643"/>
        <w:outlineLvl w:val="0"/>
        <w:rPr>
          <w:rFonts w:eastAsia="黑体"/>
          <w:b/>
          <w:bCs/>
          <w:kern w:val="44"/>
          <w:sz w:val="32"/>
          <w:szCs w:val="44"/>
        </w:rPr>
      </w:pPr>
    </w:p>
    <w:tbl>
      <w:tblPr>
        <w:tblStyle w:val="48"/>
        <w:tblpPr w:leftFromText="180" w:rightFromText="180" w:vertAnchor="text" w:horzAnchor="page" w:tblpX="1903" w:tblpY="9"/>
        <w:tblOverlap w:val="never"/>
        <w:tblW w:w="0" w:type="auto"/>
        <w:tblInd w:w="0" w:type="dxa"/>
        <w:tblLayout w:type="fixed"/>
        <w:tblCellMar>
          <w:top w:w="0" w:type="dxa"/>
          <w:left w:w="108" w:type="dxa"/>
          <w:bottom w:w="0" w:type="dxa"/>
          <w:right w:w="108" w:type="dxa"/>
        </w:tblCellMar>
      </w:tblPr>
      <w:tblGrid>
        <w:gridCol w:w="4121"/>
        <w:gridCol w:w="4224"/>
      </w:tblGrid>
      <w:tr w14:paraId="42FC01AD">
        <w:tblPrEx>
          <w:tblCellMar>
            <w:top w:w="0" w:type="dxa"/>
            <w:left w:w="108" w:type="dxa"/>
            <w:bottom w:w="0" w:type="dxa"/>
            <w:right w:w="108" w:type="dxa"/>
          </w:tblCellMar>
        </w:tblPrEx>
        <w:trPr>
          <w:trHeight w:val="703" w:hRule="exact"/>
        </w:trPr>
        <w:tc>
          <w:tcPr>
            <w:tcW w:w="4121" w:type="dxa"/>
          </w:tcPr>
          <w:p w14:paraId="627EE22A">
            <w:pPr>
              <w:ind w:firstLine="0" w:firstLineChars="0"/>
              <w:rPr>
                <w:bCs/>
                <w:szCs w:val="21"/>
              </w:rPr>
            </w:pPr>
            <w:r>
              <w:rPr>
                <w:bCs/>
                <w:szCs w:val="21"/>
              </w:rPr>
              <w:t>甲方(盖章)：</w:t>
            </w:r>
          </w:p>
        </w:tc>
        <w:tc>
          <w:tcPr>
            <w:tcW w:w="4224" w:type="dxa"/>
          </w:tcPr>
          <w:p w14:paraId="509FC450">
            <w:pPr>
              <w:ind w:firstLine="0" w:firstLineChars="0"/>
              <w:rPr>
                <w:bCs/>
                <w:szCs w:val="21"/>
                <w:u w:val="single"/>
              </w:rPr>
            </w:pPr>
            <w:r>
              <w:rPr>
                <w:bCs/>
                <w:szCs w:val="21"/>
              </w:rPr>
              <w:t>乙方(盖章)：</w:t>
            </w:r>
          </w:p>
          <w:p w14:paraId="7D2C5065">
            <w:pPr>
              <w:ind w:firstLine="420"/>
              <w:rPr>
                <w:bCs/>
                <w:szCs w:val="21"/>
                <w:u w:val="single"/>
              </w:rPr>
            </w:pPr>
          </w:p>
          <w:p w14:paraId="35430BA6">
            <w:pPr>
              <w:ind w:firstLine="420"/>
              <w:rPr>
                <w:bCs/>
                <w:szCs w:val="21"/>
                <w:u w:val="single"/>
              </w:rPr>
            </w:pPr>
          </w:p>
          <w:p w14:paraId="75EC4938">
            <w:pPr>
              <w:ind w:firstLine="420"/>
              <w:rPr>
                <w:bCs/>
                <w:szCs w:val="21"/>
              </w:rPr>
            </w:pPr>
          </w:p>
        </w:tc>
      </w:tr>
      <w:tr w14:paraId="1BCE8509">
        <w:tblPrEx>
          <w:tblCellMar>
            <w:top w:w="0" w:type="dxa"/>
            <w:left w:w="108" w:type="dxa"/>
            <w:bottom w:w="0" w:type="dxa"/>
            <w:right w:w="108" w:type="dxa"/>
          </w:tblCellMar>
        </w:tblPrEx>
        <w:trPr>
          <w:trHeight w:val="703" w:hRule="exact"/>
        </w:trPr>
        <w:tc>
          <w:tcPr>
            <w:tcW w:w="4121" w:type="dxa"/>
          </w:tcPr>
          <w:p w14:paraId="55439441">
            <w:pPr>
              <w:ind w:firstLine="0" w:firstLineChars="0"/>
              <w:jc w:val="left"/>
              <w:rPr>
                <w:bCs/>
                <w:szCs w:val="21"/>
              </w:rPr>
            </w:pPr>
            <w:r>
              <w:rPr>
                <w:bCs/>
                <w:szCs w:val="21"/>
              </w:rPr>
              <w:t xml:space="preserve">法定代表人或委托代理人：(盖章或签字)  </w:t>
            </w:r>
          </w:p>
        </w:tc>
        <w:tc>
          <w:tcPr>
            <w:tcW w:w="4224" w:type="dxa"/>
          </w:tcPr>
          <w:p w14:paraId="1511DD41">
            <w:pPr>
              <w:ind w:firstLine="0" w:firstLineChars="0"/>
              <w:jc w:val="left"/>
              <w:rPr>
                <w:bCs/>
                <w:szCs w:val="21"/>
              </w:rPr>
            </w:pPr>
            <w:r>
              <w:rPr>
                <w:bCs/>
                <w:szCs w:val="21"/>
              </w:rPr>
              <w:t xml:space="preserve">法定代表人或委托代理人：(盖章或签字) </w:t>
            </w:r>
          </w:p>
        </w:tc>
      </w:tr>
    </w:tbl>
    <w:p w14:paraId="27D9C236">
      <w:pPr>
        <w:ind w:firstLine="0" w:firstLineChars="0"/>
        <w:outlineLvl w:val="1"/>
        <w:rPr>
          <w:bCs/>
          <w:szCs w:val="21"/>
        </w:rPr>
      </w:pPr>
      <w:r>
        <w:rPr>
          <w:bCs/>
          <w:sz w:val="24"/>
        </w:rPr>
        <w:br w:type="page"/>
      </w:r>
      <w:r>
        <w:rPr>
          <w:rFonts w:ascii="黑体" w:hAnsi="黑体" w:eastAsia="黑体" w:cs="黑体"/>
          <w:bCs/>
          <w:sz w:val="28"/>
          <w:szCs w:val="28"/>
        </w:rPr>
        <w:t>附件2</w:t>
      </w:r>
    </w:p>
    <w:p w14:paraId="625DFA13">
      <w:pPr>
        <w:keepNext/>
        <w:keepLines/>
        <w:spacing w:line="360" w:lineRule="auto"/>
        <w:ind w:firstLine="562"/>
        <w:jc w:val="center"/>
        <w:outlineLvl w:val="2"/>
        <w:rPr>
          <w:b/>
          <w:bCs/>
          <w:sz w:val="28"/>
          <w:szCs w:val="28"/>
        </w:rPr>
      </w:pPr>
      <w:bookmarkStart w:id="202" w:name="_Toc7911"/>
      <w:bookmarkStart w:id="203" w:name="_Toc32697"/>
      <w:bookmarkStart w:id="204" w:name="_Toc27963"/>
      <w:bookmarkStart w:id="205" w:name="_Toc8736"/>
      <w:bookmarkStart w:id="206" w:name="_Toc13010"/>
      <w:bookmarkStart w:id="207" w:name="_Toc11467"/>
      <w:bookmarkStart w:id="208" w:name="_Toc10444"/>
      <w:bookmarkStart w:id="209" w:name="_Toc22546"/>
      <w:bookmarkStart w:id="210" w:name="_Toc4965"/>
      <w:bookmarkStart w:id="211" w:name="_Toc15878"/>
      <w:bookmarkStart w:id="212" w:name="_Toc10125"/>
      <w:bookmarkStart w:id="213" w:name="_Toc26234"/>
      <w:bookmarkStart w:id="214" w:name="_Toc19335"/>
      <w:bookmarkStart w:id="215" w:name="_Toc1078"/>
      <w:r>
        <w:rPr>
          <w:b/>
          <w:bCs/>
          <w:sz w:val="28"/>
          <w:szCs w:val="28"/>
        </w:rPr>
        <w:t>廉政合同</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17EACD5">
      <w:pPr>
        <w:widowControl/>
        <w:spacing w:line="360" w:lineRule="auto"/>
        <w:ind w:firstLine="420"/>
        <w:jc w:val="left"/>
        <w:rPr>
          <w:bCs/>
          <w:szCs w:val="21"/>
        </w:rPr>
      </w:pPr>
      <w:r>
        <w:rPr>
          <w:bCs/>
          <w:szCs w:val="21"/>
        </w:rPr>
        <w:t>根据有关工程建设、廉政建设的规定，为做好工程建设中的党风廉政建设，保证工程建设高效优质，保证建设资金的安全和有效使用以及投资效益，发包单位与该项目的承包单位，特订立如下合同。</w:t>
      </w:r>
    </w:p>
    <w:p w14:paraId="01AE772E">
      <w:pPr>
        <w:adjustRightInd w:val="0"/>
        <w:snapToGrid w:val="0"/>
        <w:spacing w:line="360" w:lineRule="auto"/>
        <w:ind w:firstLine="420"/>
        <w:rPr>
          <w:szCs w:val="21"/>
        </w:rPr>
      </w:pPr>
      <w:r>
        <w:rPr>
          <w:szCs w:val="21"/>
        </w:rPr>
        <w:t>1．甲方和乙方双方的权利和义务</w:t>
      </w:r>
    </w:p>
    <w:p w14:paraId="27CA1527">
      <w:pPr>
        <w:spacing w:line="360" w:lineRule="auto"/>
        <w:ind w:firstLine="420"/>
        <w:rPr>
          <w:bCs/>
          <w:szCs w:val="21"/>
        </w:rPr>
      </w:pPr>
      <w:r>
        <w:rPr>
          <w:bCs/>
          <w:szCs w:val="21"/>
        </w:rPr>
        <w:t>（1）严格遵守党的政策规定和国家有关法律法规的有关规定。</w:t>
      </w:r>
    </w:p>
    <w:p w14:paraId="3FA8BC4A">
      <w:pPr>
        <w:spacing w:line="360" w:lineRule="auto"/>
        <w:ind w:firstLine="420"/>
        <w:rPr>
          <w:bCs/>
          <w:szCs w:val="21"/>
        </w:rPr>
      </w:pPr>
      <w:r>
        <w:rPr>
          <w:bCs/>
          <w:szCs w:val="21"/>
        </w:rPr>
        <w:t>（2）严格执行合同文件，自觉按合同办事。</w:t>
      </w:r>
    </w:p>
    <w:p w14:paraId="5E117649">
      <w:pPr>
        <w:spacing w:line="360" w:lineRule="auto"/>
        <w:ind w:firstLine="420"/>
        <w:rPr>
          <w:bCs/>
          <w:szCs w:val="21"/>
        </w:rPr>
      </w:pPr>
      <w:r>
        <w:rPr>
          <w:bCs/>
          <w:szCs w:val="21"/>
        </w:rPr>
        <w:t>（3）双方的业务活动坚持公开、公正、诚信、透明的原则（法律认定的商业秘密和合同文件另有规定除外），不得损害国家和集体利益，不得违反工程建设管理规章制度。</w:t>
      </w:r>
    </w:p>
    <w:p w14:paraId="786EE01C">
      <w:pPr>
        <w:spacing w:line="360" w:lineRule="auto"/>
        <w:ind w:firstLine="420"/>
        <w:rPr>
          <w:bCs/>
          <w:szCs w:val="21"/>
        </w:rPr>
      </w:pPr>
      <w:r>
        <w:rPr>
          <w:bCs/>
          <w:szCs w:val="21"/>
        </w:rPr>
        <w:t>（4）建立健全廉政制度，开展廉政教育，设立廉政告示牌，公布举报电话，监督并认真查处违法违纪行为。</w:t>
      </w:r>
    </w:p>
    <w:p w14:paraId="3B4AC9ED">
      <w:pPr>
        <w:spacing w:line="360" w:lineRule="auto"/>
        <w:ind w:firstLine="420"/>
        <w:rPr>
          <w:bCs/>
          <w:szCs w:val="21"/>
        </w:rPr>
      </w:pPr>
      <w:r>
        <w:rPr>
          <w:bCs/>
          <w:szCs w:val="21"/>
        </w:rPr>
        <w:t>（5）发现对方在业务活动中有违反廉政规定的行为，有及时提醒对方纠正的权利和义务。</w:t>
      </w:r>
    </w:p>
    <w:p w14:paraId="2927CA14">
      <w:pPr>
        <w:spacing w:line="360" w:lineRule="auto"/>
        <w:ind w:firstLine="420"/>
        <w:rPr>
          <w:bCs/>
          <w:szCs w:val="21"/>
        </w:rPr>
      </w:pPr>
      <w:r>
        <w:rPr>
          <w:bCs/>
          <w:szCs w:val="21"/>
        </w:rPr>
        <w:t>（6）发现对方严重违反本合同义务条款的行为，有向其上级有关部门举报、建议给予处理并要求告知处理结果的权利。</w:t>
      </w:r>
    </w:p>
    <w:p w14:paraId="4BF86B46">
      <w:pPr>
        <w:adjustRightInd w:val="0"/>
        <w:snapToGrid w:val="0"/>
        <w:spacing w:line="360" w:lineRule="auto"/>
        <w:ind w:firstLine="420"/>
        <w:rPr>
          <w:szCs w:val="21"/>
        </w:rPr>
      </w:pPr>
      <w:r>
        <w:rPr>
          <w:szCs w:val="21"/>
        </w:rPr>
        <w:t>2．甲方的义务</w:t>
      </w:r>
    </w:p>
    <w:p w14:paraId="4FFD05B3">
      <w:pPr>
        <w:spacing w:line="360" w:lineRule="auto"/>
        <w:ind w:firstLine="420"/>
        <w:rPr>
          <w:bCs/>
          <w:szCs w:val="21"/>
        </w:rPr>
      </w:pPr>
      <w:r>
        <w:rPr>
          <w:bCs/>
          <w:szCs w:val="21"/>
        </w:rPr>
        <w:t>（1）甲方及其工作人员不得索要或接受乙方的礼金、有价证券和贵重物品，不得让乙方报销任何应由甲方或甲方工作人员个人支付的费用等。</w:t>
      </w:r>
    </w:p>
    <w:p w14:paraId="160CAA5C">
      <w:pPr>
        <w:spacing w:line="360" w:lineRule="auto"/>
        <w:ind w:firstLine="420"/>
        <w:rPr>
          <w:bCs/>
          <w:szCs w:val="21"/>
        </w:rPr>
      </w:pPr>
      <w:r>
        <w:rPr>
          <w:bCs/>
          <w:szCs w:val="21"/>
        </w:rPr>
        <w:t>（2）甲方工作人员不得参加乙方安排的超标准宴请和娱乐活动；不得接受乙方提供的通讯工具、交通工具和高档办公用品等。</w:t>
      </w:r>
    </w:p>
    <w:p w14:paraId="749949DB">
      <w:pPr>
        <w:spacing w:line="360" w:lineRule="auto"/>
        <w:ind w:firstLine="420"/>
        <w:rPr>
          <w:bCs/>
          <w:szCs w:val="21"/>
        </w:rPr>
      </w:pPr>
      <w:r>
        <w:rPr>
          <w:bCs/>
          <w:szCs w:val="21"/>
        </w:rPr>
        <w:t>（3）甲方及其工作人员不利要求或者接受乙方为其住房装修、婚丧嫁娶活动、配偶子女的工作安排以及出国出境、旅游等提供方便等。</w:t>
      </w:r>
    </w:p>
    <w:p w14:paraId="2887D54E">
      <w:pPr>
        <w:spacing w:line="360" w:lineRule="auto"/>
        <w:ind w:firstLine="420"/>
        <w:rPr>
          <w:bCs/>
          <w:szCs w:val="21"/>
        </w:rPr>
      </w:pPr>
      <w:r>
        <w:rPr>
          <w:bCs/>
          <w:szCs w:val="21"/>
        </w:rPr>
        <w:t>（4）甲方工作人员及其配偶、子女不得从事与甲方工作有关的材料设备供应、工程分包、劳务等经济活动等。</w:t>
      </w:r>
    </w:p>
    <w:p w14:paraId="3206DE91">
      <w:pPr>
        <w:spacing w:line="360" w:lineRule="auto"/>
        <w:ind w:firstLine="420"/>
        <w:rPr>
          <w:bCs/>
          <w:szCs w:val="21"/>
        </w:rPr>
      </w:pPr>
      <w:r>
        <w:rPr>
          <w:bCs/>
          <w:szCs w:val="21"/>
        </w:rPr>
        <w:t>（5）甲方及期工作人员不得以任何理由向乙方推荐分包单位或推销材料，不得要求乙方购买合同规定外的材料和设备。</w:t>
      </w:r>
    </w:p>
    <w:p w14:paraId="333579F7">
      <w:pPr>
        <w:spacing w:line="360" w:lineRule="auto"/>
        <w:ind w:firstLine="420"/>
        <w:rPr>
          <w:bCs/>
          <w:szCs w:val="21"/>
        </w:rPr>
      </w:pPr>
      <w:r>
        <w:rPr>
          <w:bCs/>
          <w:szCs w:val="21"/>
        </w:rPr>
        <w:t>（6）甲方工作人员要秉公办事，不准营私舞弊，不准利用职权从事各种个人有偿中介活动和安排个人施工队伍。</w:t>
      </w:r>
    </w:p>
    <w:p w14:paraId="59C36312">
      <w:pPr>
        <w:adjustRightInd w:val="0"/>
        <w:snapToGrid w:val="0"/>
        <w:spacing w:line="360" w:lineRule="auto"/>
        <w:ind w:firstLine="420"/>
        <w:rPr>
          <w:szCs w:val="21"/>
        </w:rPr>
      </w:pPr>
      <w:r>
        <w:rPr>
          <w:szCs w:val="21"/>
        </w:rPr>
        <w:t>3．乙方的义务</w:t>
      </w:r>
    </w:p>
    <w:p w14:paraId="057834BF">
      <w:pPr>
        <w:spacing w:line="360" w:lineRule="auto"/>
        <w:ind w:firstLine="420"/>
        <w:rPr>
          <w:bCs/>
          <w:szCs w:val="21"/>
        </w:rPr>
      </w:pPr>
      <w:r>
        <w:rPr>
          <w:bCs/>
          <w:szCs w:val="21"/>
        </w:rPr>
        <w:t>（1）乙方不得以任何理由向甲方及其工作人员行贿或馈赠礼金、有价证券、贵重礼品。</w:t>
      </w:r>
    </w:p>
    <w:p w14:paraId="3B5A11B0">
      <w:pPr>
        <w:spacing w:line="360" w:lineRule="auto"/>
        <w:ind w:firstLine="420"/>
        <w:rPr>
          <w:bCs/>
          <w:szCs w:val="21"/>
        </w:rPr>
      </w:pPr>
      <w:r>
        <w:rPr>
          <w:bCs/>
          <w:szCs w:val="21"/>
        </w:rPr>
        <w:t>（2）乙方不得以任何名义为甲方及其工作人员报销应由甲方单位或个人支付的任何费用。</w:t>
      </w:r>
    </w:p>
    <w:p w14:paraId="31CA0CB8">
      <w:pPr>
        <w:spacing w:line="360" w:lineRule="auto"/>
        <w:ind w:firstLine="420"/>
        <w:rPr>
          <w:bCs/>
          <w:szCs w:val="21"/>
        </w:rPr>
      </w:pPr>
      <w:r>
        <w:rPr>
          <w:bCs/>
          <w:szCs w:val="21"/>
        </w:rPr>
        <w:t>（3）乙方不得以任何理由安排甲方工作人员参加超标准宴请及娱乐活动。</w:t>
      </w:r>
    </w:p>
    <w:p w14:paraId="5451D5C2">
      <w:pPr>
        <w:spacing w:line="360" w:lineRule="auto"/>
        <w:ind w:firstLine="420"/>
        <w:rPr>
          <w:bCs/>
          <w:szCs w:val="21"/>
        </w:rPr>
      </w:pPr>
      <w:r>
        <w:rPr>
          <w:bCs/>
          <w:szCs w:val="21"/>
        </w:rPr>
        <w:t>（4）乙方不得为甲方单位和个人购置或提供通讯工具、交通工具和高档办公用品等。</w:t>
      </w:r>
    </w:p>
    <w:p w14:paraId="658A5234">
      <w:pPr>
        <w:adjustRightInd w:val="0"/>
        <w:snapToGrid w:val="0"/>
        <w:spacing w:line="360" w:lineRule="auto"/>
        <w:ind w:firstLine="420"/>
        <w:rPr>
          <w:szCs w:val="21"/>
        </w:rPr>
      </w:pPr>
      <w:r>
        <w:rPr>
          <w:szCs w:val="21"/>
        </w:rPr>
        <w:t>4．违约责任</w:t>
      </w:r>
    </w:p>
    <w:p w14:paraId="7664F198">
      <w:pPr>
        <w:spacing w:line="360" w:lineRule="auto"/>
        <w:ind w:firstLine="420"/>
        <w:rPr>
          <w:bCs/>
          <w:szCs w:val="21"/>
        </w:rPr>
      </w:pPr>
      <w:r>
        <w:rPr>
          <w:bCs/>
          <w:szCs w:val="21"/>
        </w:rPr>
        <w:t>（1）甲方及其工作人员违反本合同第1、2条，按管理权限，依据有关规定给予党纪、政纪或组织处理；涉嫌犯罪的，移交司法机关追究刑事责任；给乙方单位造成经济损失的，应予以赔偿。</w:t>
      </w:r>
    </w:p>
    <w:p w14:paraId="611A60C4">
      <w:pPr>
        <w:spacing w:line="360" w:lineRule="auto"/>
        <w:ind w:firstLine="420"/>
        <w:rPr>
          <w:bCs/>
          <w:szCs w:val="21"/>
        </w:rPr>
      </w:pPr>
      <w:r>
        <w:rPr>
          <w:bCs/>
          <w:szCs w:val="21"/>
        </w:rPr>
        <w:t>（2）乙方及其工作人员违反本合同第1、3条，按管理权限，依据有关规定给予党纪、政纪或组织处理；给甲方单位造成经济损失的，应予以赔偿；</w:t>
      </w:r>
    </w:p>
    <w:p w14:paraId="0DEABE62">
      <w:pPr>
        <w:adjustRightInd w:val="0"/>
        <w:snapToGrid w:val="0"/>
        <w:spacing w:line="360" w:lineRule="auto"/>
        <w:ind w:firstLine="420"/>
        <w:rPr>
          <w:szCs w:val="21"/>
        </w:rPr>
      </w:pPr>
      <w:r>
        <w:rPr>
          <w:szCs w:val="21"/>
        </w:rPr>
        <w:t>5．其他约定</w:t>
      </w:r>
    </w:p>
    <w:p w14:paraId="2E648143">
      <w:pPr>
        <w:spacing w:line="360" w:lineRule="auto"/>
        <w:ind w:firstLine="420"/>
        <w:rPr>
          <w:bCs/>
          <w:szCs w:val="21"/>
        </w:rPr>
      </w:pPr>
      <w:r>
        <w:rPr>
          <w:bCs/>
          <w:szCs w:val="21"/>
        </w:rPr>
        <w:t>（1）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8AD8654">
      <w:pPr>
        <w:spacing w:line="360" w:lineRule="auto"/>
        <w:ind w:firstLine="420"/>
        <w:rPr>
          <w:bCs/>
          <w:szCs w:val="21"/>
        </w:rPr>
      </w:pPr>
      <w:r>
        <w:rPr>
          <w:bCs/>
          <w:szCs w:val="21"/>
        </w:rPr>
        <w:t>（2）本合同有效期为甲方和乙方签署之日起至该工程项目竣工验收后止。</w:t>
      </w:r>
    </w:p>
    <w:p w14:paraId="6D0296AD">
      <w:pPr>
        <w:spacing w:line="360" w:lineRule="auto"/>
        <w:ind w:firstLine="420"/>
        <w:rPr>
          <w:bCs/>
          <w:szCs w:val="21"/>
        </w:rPr>
      </w:pPr>
      <w:r>
        <w:rPr>
          <w:bCs/>
          <w:szCs w:val="21"/>
        </w:rPr>
        <w:t>（3）本合同作为合同的附件，与工程施工合同具有同等的法律效力，经合同双方均加盖公章后立即生效。</w:t>
      </w:r>
    </w:p>
    <w:p w14:paraId="14FDB80C">
      <w:pPr>
        <w:keepNext/>
        <w:keepLines/>
        <w:spacing w:line="360" w:lineRule="auto"/>
        <w:ind w:firstLine="643"/>
        <w:outlineLvl w:val="0"/>
        <w:rPr>
          <w:rFonts w:eastAsia="黑体"/>
          <w:b/>
          <w:bCs/>
          <w:kern w:val="44"/>
          <w:sz w:val="32"/>
          <w:szCs w:val="44"/>
        </w:rPr>
      </w:pPr>
    </w:p>
    <w:tbl>
      <w:tblPr>
        <w:tblStyle w:val="48"/>
        <w:tblpPr w:leftFromText="180" w:rightFromText="180" w:vertAnchor="text" w:horzAnchor="page" w:tblpX="1903" w:tblpY="9"/>
        <w:tblOverlap w:val="never"/>
        <w:tblW w:w="0" w:type="auto"/>
        <w:tblInd w:w="0" w:type="dxa"/>
        <w:tblLayout w:type="fixed"/>
        <w:tblCellMar>
          <w:top w:w="0" w:type="dxa"/>
          <w:left w:w="108" w:type="dxa"/>
          <w:bottom w:w="0" w:type="dxa"/>
          <w:right w:w="108" w:type="dxa"/>
        </w:tblCellMar>
      </w:tblPr>
      <w:tblGrid>
        <w:gridCol w:w="4121"/>
        <w:gridCol w:w="4224"/>
      </w:tblGrid>
      <w:tr w14:paraId="4E12D5DC">
        <w:tblPrEx>
          <w:tblCellMar>
            <w:top w:w="0" w:type="dxa"/>
            <w:left w:w="108" w:type="dxa"/>
            <w:bottom w:w="0" w:type="dxa"/>
            <w:right w:w="108" w:type="dxa"/>
          </w:tblCellMar>
        </w:tblPrEx>
        <w:trPr>
          <w:trHeight w:val="703" w:hRule="exact"/>
        </w:trPr>
        <w:tc>
          <w:tcPr>
            <w:tcW w:w="4121" w:type="dxa"/>
          </w:tcPr>
          <w:p w14:paraId="4C4D6FF5">
            <w:pPr>
              <w:ind w:firstLine="0" w:firstLineChars="0"/>
              <w:rPr>
                <w:bCs/>
                <w:szCs w:val="21"/>
              </w:rPr>
            </w:pPr>
            <w:r>
              <w:rPr>
                <w:bCs/>
                <w:szCs w:val="21"/>
              </w:rPr>
              <w:t>甲方(盖章)：</w:t>
            </w:r>
          </w:p>
        </w:tc>
        <w:tc>
          <w:tcPr>
            <w:tcW w:w="4224" w:type="dxa"/>
          </w:tcPr>
          <w:p w14:paraId="73B3F10A">
            <w:pPr>
              <w:ind w:firstLine="0" w:firstLineChars="0"/>
              <w:rPr>
                <w:bCs/>
                <w:szCs w:val="21"/>
                <w:u w:val="single"/>
              </w:rPr>
            </w:pPr>
            <w:r>
              <w:rPr>
                <w:bCs/>
                <w:szCs w:val="21"/>
              </w:rPr>
              <w:t>乙方(盖章)：</w:t>
            </w:r>
          </w:p>
          <w:p w14:paraId="10D4B8C9">
            <w:pPr>
              <w:ind w:firstLine="420"/>
              <w:rPr>
                <w:bCs/>
                <w:szCs w:val="21"/>
                <w:u w:val="single"/>
              </w:rPr>
            </w:pPr>
          </w:p>
          <w:p w14:paraId="3E573620">
            <w:pPr>
              <w:ind w:firstLine="420"/>
              <w:rPr>
                <w:bCs/>
                <w:szCs w:val="21"/>
                <w:u w:val="single"/>
              </w:rPr>
            </w:pPr>
          </w:p>
          <w:p w14:paraId="7C2611D3">
            <w:pPr>
              <w:ind w:firstLine="420"/>
              <w:rPr>
                <w:bCs/>
                <w:szCs w:val="21"/>
              </w:rPr>
            </w:pPr>
          </w:p>
        </w:tc>
      </w:tr>
      <w:tr w14:paraId="11C40D93">
        <w:tblPrEx>
          <w:tblCellMar>
            <w:top w:w="0" w:type="dxa"/>
            <w:left w:w="108" w:type="dxa"/>
            <w:bottom w:w="0" w:type="dxa"/>
            <w:right w:w="108" w:type="dxa"/>
          </w:tblCellMar>
        </w:tblPrEx>
        <w:trPr>
          <w:trHeight w:val="703" w:hRule="exact"/>
        </w:trPr>
        <w:tc>
          <w:tcPr>
            <w:tcW w:w="4121" w:type="dxa"/>
          </w:tcPr>
          <w:p w14:paraId="62C90B12">
            <w:pPr>
              <w:ind w:firstLine="0" w:firstLineChars="0"/>
              <w:jc w:val="left"/>
              <w:rPr>
                <w:bCs/>
                <w:szCs w:val="21"/>
              </w:rPr>
            </w:pPr>
            <w:r>
              <w:rPr>
                <w:bCs/>
                <w:szCs w:val="21"/>
              </w:rPr>
              <w:t xml:space="preserve">法定代表人或委托代理人：(盖章或签字)  </w:t>
            </w:r>
          </w:p>
        </w:tc>
        <w:tc>
          <w:tcPr>
            <w:tcW w:w="4224" w:type="dxa"/>
          </w:tcPr>
          <w:p w14:paraId="74DC92F9">
            <w:pPr>
              <w:ind w:firstLine="0" w:firstLineChars="0"/>
              <w:jc w:val="left"/>
              <w:rPr>
                <w:bCs/>
                <w:szCs w:val="21"/>
              </w:rPr>
            </w:pPr>
            <w:r>
              <w:rPr>
                <w:bCs/>
                <w:szCs w:val="21"/>
              </w:rPr>
              <w:t xml:space="preserve">法定代表人或委托代理人：(盖章或签字) </w:t>
            </w:r>
          </w:p>
        </w:tc>
      </w:tr>
    </w:tbl>
    <w:p w14:paraId="629A8266">
      <w:pPr>
        <w:keepNext/>
        <w:keepLines/>
        <w:spacing w:line="360" w:lineRule="auto"/>
        <w:ind w:firstLine="643"/>
        <w:jc w:val="both"/>
        <w:outlineLvl w:val="0"/>
        <w:rPr>
          <w:rFonts w:eastAsia="黑体"/>
          <w:b/>
          <w:bCs/>
          <w:kern w:val="44"/>
          <w:sz w:val="32"/>
          <w:szCs w:val="21"/>
        </w:rPr>
        <w:sectPr>
          <w:headerReference r:id="rId12" w:type="default"/>
          <w:footerReference r:id="rId13" w:type="default"/>
          <w:pgSz w:w="11905" w:h="16838"/>
          <w:pgMar w:top="1440" w:right="1803" w:bottom="1440" w:left="1803" w:header="850" w:footer="850" w:gutter="0"/>
          <w:cols w:space="0" w:num="1"/>
          <w:docGrid w:linePitch="312" w:charSpace="0"/>
        </w:sectPr>
      </w:pPr>
    </w:p>
    <w:p w14:paraId="1CA60C9C">
      <w:pPr>
        <w:spacing w:line="240" w:lineRule="auto"/>
        <w:ind w:firstLine="0" w:firstLineChars="0"/>
        <w:rPr>
          <w:szCs w:val="21"/>
        </w:rPr>
      </w:pPr>
    </w:p>
    <w:p w14:paraId="7EE88707">
      <w:pPr>
        <w:spacing w:line="240" w:lineRule="auto"/>
        <w:ind w:firstLine="0" w:firstLineChars="0"/>
        <w:jc w:val="left"/>
        <w:rPr>
          <w:szCs w:val="21"/>
        </w:rPr>
      </w:pPr>
    </w:p>
    <w:bookmarkEnd w:id="185"/>
    <w:bookmarkEnd w:id="186"/>
    <w:p w14:paraId="7F1C4DC2">
      <w:pPr>
        <w:spacing w:line="240" w:lineRule="auto"/>
        <w:ind w:firstLine="0" w:firstLineChars="0"/>
        <w:jc w:val="center"/>
        <w:outlineLvl w:val="0"/>
        <w:rPr>
          <w:b/>
          <w:bCs/>
          <w:color w:val="000000" w:themeColor="text1"/>
          <w:sz w:val="48"/>
          <w:szCs w:val="48"/>
          <w14:textFill>
            <w14:solidFill>
              <w14:schemeClr w14:val="tx1"/>
            </w14:solidFill>
          </w14:textFill>
        </w:rPr>
      </w:pPr>
      <w:bookmarkStart w:id="216" w:name="_Toc1036"/>
      <w:r>
        <w:rPr>
          <w:b/>
          <w:bCs/>
          <w:color w:val="000000" w:themeColor="text1"/>
          <w:sz w:val="48"/>
          <w:szCs w:val="48"/>
          <w14:textFill>
            <w14:solidFill>
              <w14:schemeClr w14:val="tx1"/>
            </w14:solidFill>
          </w14:textFill>
        </w:rPr>
        <w:t>第</w:t>
      </w:r>
      <w:r>
        <w:rPr>
          <w:rFonts w:hint="eastAsia"/>
          <w:b/>
          <w:bCs/>
          <w:color w:val="000000" w:themeColor="text1"/>
          <w:sz w:val="48"/>
          <w:szCs w:val="48"/>
          <w14:textFill>
            <w14:solidFill>
              <w14:schemeClr w14:val="tx1"/>
            </w14:solidFill>
          </w14:textFill>
        </w:rPr>
        <w:t>五</w:t>
      </w:r>
      <w:r>
        <w:rPr>
          <w:b/>
          <w:bCs/>
          <w:color w:val="000000" w:themeColor="text1"/>
          <w:sz w:val="48"/>
          <w:szCs w:val="48"/>
          <w14:textFill>
            <w14:solidFill>
              <w14:schemeClr w14:val="tx1"/>
            </w14:solidFill>
          </w14:textFill>
        </w:rPr>
        <w:t>章 响应文件格式</w:t>
      </w:r>
      <w:bookmarkEnd w:id="184"/>
      <w:bookmarkEnd w:id="216"/>
    </w:p>
    <w:p w14:paraId="59F17E3C">
      <w:pPr>
        <w:pStyle w:val="12"/>
        <w:snapToGrid w:val="0"/>
        <w:spacing w:line="400" w:lineRule="atLeast"/>
        <w:ind w:firstLine="281" w:firstLineChars="140"/>
        <w:rPr>
          <w:rFonts w:ascii="Times New Roman"/>
          <w:color w:val="000000" w:themeColor="text1"/>
          <w:kern w:val="0"/>
          <w:sz w:val="24"/>
          <w14:textFill>
            <w14:solidFill>
              <w14:schemeClr w14:val="tx1"/>
            </w14:solidFill>
          </w14:textFill>
        </w:rPr>
      </w:pPr>
      <w:bookmarkStart w:id="217" w:name="_Toc520410661"/>
      <w:r>
        <w:rPr>
          <w:rFonts w:ascii="Times New Roman"/>
          <w:b/>
          <w:color w:val="000000" w:themeColor="text1"/>
          <w:sz w:val="20"/>
          <w14:textFill>
            <w14:solidFill>
              <w14:schemeClr w14:val="tx1"/>
            </w14:solidFill>
          </w14:textFill>
        </w:rPr>
        <w:t>封面</w:t>
      </w:r>
      <w:bookmarkEnd w:id="217"/>
    </w:p>
    <w:p w14:paraId="7B139E9C">
      <w:pPr>
        <w:autoSpaceDE w:val="0"/>
        <w:autoSpaceDN w:val="0"/>
        <w:adjustRightInd w:val="0"/>
        <w:spacing w:line="400" w:lineRule="atLeast"/>
        <w:ind w:firstLine="602"/>
        <w:rPr>
          <w:b/>
          <w:color w:val="000000" w:themeColor="text1"/>
          <w:kern w:val="0"/>
          <w:sz w:val="30"/>
          <w:szCs w:val="30"/>
          <w14:textFill>
            <w14:solidFill>
              <w14:schemeClr w14:val="tx1"/>
            </w14:solidFill>
          </w14:textFill>
        </w:rPr>
      </w:pPr>
    </w:p>
    <w:p w14:paraId="2776D3C4">
      <w:pPr>
        <w:autoSpaceDE w:val="0"/>
        <w:autoSpaceDN w:val="0"/>
        <w:adjustRightInd w:val="0"/>
        <w:spacing w:line="400" w:lineRule="atLeast"/>
        <w:ind w:firstLine="0" w:firstLineChars="0"/>
        <w:jc w:val="center"/>
        <w:rPr>
          <w:b/>
          <w:color w:val="000000" w:themeColor="text1"/>
          <w:kern w:val="0"/>
          <w:sz w:val="48"/>
          <w:szCs w:val="48"/>
          <w14:textFill>
            <w14:solidFill>
              <w14:schemeClr w14:val="tx1"/>
            </w14:solidFill>
          </w14:textFill>
        </w:rPr>
      </w:pPr>
      <w:r>
        <w:rPr>
          <w:b/>
          <w:bCs/>
          <w:color w:val="000000" w:themeColor="text1"/>
          <w:kern w:val="0"/>
          <w:sz w:val="48"/>
          <w:szCs w:val="48"/>
          <w:u w:val="single"/>
          <w14:textFill>
            <w14:solidFill>
              <w14:schemeClr w14:val="tx1"/>
            </w14:solidFill>
          </w14:textFill>
        </w:rPr>
        <w:t>（项目名称）</w:t>
      </w:r>
    </w:p>
    <w:p w14:paraId="1F1E7159">
      <w:pPr>
        <w:pStyle w:val="18"/>
        <w:ind w:firstLine="420"/>
        <w:rPr>
          <w:color w:val="000000" w:themeColor="text1"/>
          <w14:textFill>
            <w14:solidFill>
              <w14:schemeClr w14:val="tx1"/>
            </w14:solidFill>
          </w14:textFill>
        </w:rPr>
      </w:pPr>
    </w:p>
    <w:p w14:paraId="2A268353">
      <w:pPr>
        <w:pStyle w:val="18"/>
        <w:ind w:firstLine="420"/>
        <w:rPr>
          <w:color w:val="000000" w:themeColor="text1"/>
          <w14:textFill>
            <w14:solidFill>
              <w14:schemeClr w14:val="tx1"/>
            </w14:solidFill>
          </w14:textFill>
        </w:rPr>
      </w:pPr>
    </w:p>
    <w:p w14:paraId="7C58860B">
      <w:pPr>
        <w:pStyle w:val="18"/>
        <w:ind w:firstLine="420"/>
        <w:rPr>
          <w:color w:val="000000" w:themeColor="text1"/>
          <w14:textFill>
            <w14:solidFill>
              <w14:schemeClr w14:val="tx1"/>
            </w14:solidFill>
          </w14:textFill>
        </w:rPr>
      </w:pPr>
    </w:p>
    <w:p w14:paraId="008B5BF5">
      <w:pPr>
        <w:autoSpaceDE w:val="0"/>
        <w:autoSpaceDN w:val="0"/>
        <w:adjustRightInd w:val="0"/>
        <w:spacing w:line="400" w:lineRule="atLeast"/>
        <w:ind w:firstLine="0" w:firstLineChars="0"/>
        <w:jc w:val="center"/>
        <w:rPr>
          <w:b/>
          <w:color w:val="000000" w:themeColor="text1"/>
          <w:kern w:val="0"/>
          <w:sz w:val="72"/>
          <w:szCs w:val="72"/>
          <w14:textFill>
            <w14:solidFill>
              <w14:schemeClr w14:val="tx1"/>
            </w14:solidFill>
          </w14:textFill>
        </w:rPr>
      </w:pPr>
      <w:r>
        <w:rPr>
          <w:b/>
          <w:color w:val="000000" w:themeColor="text1"/>
          <w:kern w:val="0"/>
          <w:sz w:val="72"/>
          <w:szCs w:val="72"/>
          <w14:textFill>
            <w14:solidFill>
              <w14:schemeClr w14:val="tx1"/>
            </w14:solidFill>
          </w14:textFill>
        </w:rPr>
        <w:t>谈判响应文件</w:t>
      </w:r>
    </w:p>
    <w:p w14:paraId="5C6EB6DC">
      <w:pP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09ACF6E5">
      <w:pP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1CE1E53B">
      <w:pPr>
        <w:pStyle w:val="18"/>
        <w:ind w:firstLine="420"/>
        <w:rPr>
          <w:color w:val="000000" w:themeColor="text1"/>
          <w14:textFill>
            <w14:solidFill>
              <w14:schemeClr w14:val="tx1"/>
            </w14:solidFill>
          </w14:textFill>
        </w:rPr>
      </w:pPr>
    </w:p>
    <w:p w14:paraId="6F79D69B">
      <w:pPr>
        <w:pStyle w:val="18"/>
        <w:ind w:firstLine="420"/>
        <w:rPr>
          <w:color w:val="000000" w:themeColor="text1"/>
          <w14:textFill>
            <w14:solidFill>
              <w14:schemeClr w14:val="tx1"/>
            </w14:solidFill>
          </w14:textFill>
        </w:rPr>
      </w:pPr>
    </w:p>
    <w:p w14:paraId="1B5D4043">
      <w:pPr>
        <w:pStyle w:val="18"/>
        <w:ind w:firstLine="420"/>
        <w:rPr>
          <w:color w:val="000000" w:themeColor="text1"/>
          <w14:textFill>
            <w14:solidFill>
              <w14:schemeClr w14:val="tx1"/>
            </w14:solidFill>
          </w14:textFill>
        </w:rPr>
      </w:pPr>
    </w:p>
    <w:p w14:paraId="37878C23">
      <w:pPr>
        <w:pStyle w:val="18"/>
        <w:ind w:firstLine="420"/>
        <w:rPr>
          <w:color w:val="000000" w:themeColor="text1"/>
          <w14:textFill>
            <w14:solidFill>
              <w14:schemeClr w14:val="tx1"/>
            </w14:solidFill>
          </w14:textFill>
        </w:rPr>
      </w:pPr>
    </w:p>
    <w:p w14:paraId="3A8D7063">
      <w:pP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2F09CE91">
      <w:pP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7BF2F32D">
      <w:pPr>
        <w:autoSpaceDE w:val="0"/>
        <w:autoSpaceDN w:val="0"/>
        <w:adjustRightInd w:val="0"/>
        <w:spacing w:line="400" w:lineRule="atLeast"/>
        <w:ind w:firstLine="708" w:firstLineChars="253"/>
        <w:rPr>
          <w:color w:val="000000" w:themeColor="text1"/>
          <w:kern w:val="0"/>
          <w:sz w:val="28"/>
          <w:szCs w:val="28"/>
          <w14:textFill>
            <w14:solidFill>
              <w14:schemeClr w14:val="tx1"/>
            </w14:solidFill>
          </w14:textFill>
        </w:rPr>
      </w:pPr>
    </w:p>
    <w:p w14:paraId="77B80149">
      <w:pP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供应商（盖单位章）:</w:t>
      </w:r>
    </w:p>
    <w:p w14:paraId="6AB82429">
      <w:pP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法定代表人或其委托代理人（签字）：</w:t>
      </w:r>
    </w:p>
    <w:p w14:paraId="5984AF4D">
      <w:pP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联系电话（手机）：</w:t>
      </w:r>
    </w:p>
    <w:p w14:paraId="6C2C41A2">
      <w:pPr>
        <w:autoSpaceDE w:val="0"/>
        <w:autoSpaceDN w:val="0"/>
        <w:adjustRightInd w:val="0"/>
        <w:spacing w:line="400" w:lineRule="atLeast"/>
        <w:ind w:firstLine="3080" w:firstLineChars="1100"/>
        <w:rPr>
          <w:color w:val="000000" w:themeColor="text1"/>
          <w:kern w:val="0"/>
          <w:sz w:val="28"/>
          <w:szCs w:val="28"/>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 xml:space="preserve">  </w:t>
      </w:r>
      <w:r>
        <w:rPr>
          <w:color w:val="000000" w:themeColor="text1"/>
          <w:kern w:val="0"/>
          <w:sz w:val="28"/>
          <w:szCs w:val="28"/>
          <w14:textFill>
            <w14:solidFill>
              <w14:schemeClr w14:val="tx1"/>
            </w14:solidFill>
          </w14:textFill>
        </w:rPr>
        <w:t>年  月  日</w:t>
      </w:r>
    </w:p>
    <w:p w14:paraId="7DD9D10A">
      <w:pPr>
        <w:ind w:firstLine="0" w:firstLineChars="0"/>
        <w:jc w:val="center"/>
        <w:rPr>
          <w:b/>
          <w:color w:val="000000" w:themeColor="text1"/>
          <w:sz w:val="36"/>
          <w:szCs w:val="36"/>
          <w14:textFill>
            <w14:solidFill>
              <w14:schemeClr w14:val="tx1"/>
            </w14:solidFill>
          </w14:textFill>
        </w:rPr>
      </w:pPr>
      <w:bookmarkStart w:id="218" w:name="_Toc443200890"/>
      <w:bookmarkStart w:id="219" w:name="_Toc152045787"/>
      <w:bookmarkStart w:id="220" w:name="_Toc247527827"/>
      <w:bookmarkStart w:id="221" w:name="_Toc144974856"/>
      <w:bookmarkStart w:id="222" w:name="_Toc152042576"/>
      <w:bookmarkStart w:id="223" w:name="_Toc247514246"/>
      <w:r>
        <w:rPr>
          <w:color w:val="000000" w:themeColor="text1"/>
          <w:sz w:val="36"/>
          <w:szCs w:val="36"/>
          <w14:textFill>
            <w14:solidFill>
              <w14:schemeClr w14:val="tx1"/>
            </w14:solidFill>
          </w14:textFill>
        </w:rPr>
        <w:br w:type="page"/>
      </w:r>
      <w:r>
        <w:rPr>
          <w:b/>
          <w:color w:val="000000" w:themeColor="text1"/>
          <w:sz w:val="36"/>
          <w:szCs w:val="36"/>
          <w14:textFill>
            <w14:solidFill>
              <w14:schemeClr w14:val="tx1"/>
            </w14:solidFill>
          </w14:textFill>
        </w:rPr>
        <w:t>目  录</w:t>
      </w:r>
      <w:bookmarkEnd w:id="218"/>
      <w:bookmarkEnd w:id="219"/>
      <w:bookmarkEnd w:id="220"/>
      <w:bookmarkEnd w:id="221"/>
      <w:bookmarkEnd w:id="222"/>
      <w:bookmarkEnd w:id="223"/>
    </w:p>
    <w:p w14:paraId="20E1A1B6">
      <w:pPr>
        <w:pStyle w:val="18"/>
        <w:ind w:firstLine="420"/>
        <w:rPr>
          <w:color w:val="000000" w:themeColor="text1"/>
          <w14:textFill>
            <w14:solidFill>
              <w14:schemeClr w14:val="tx1"/>
            </w14:solidFill>
          </w14:textFill>
        </w:rPr>
      </w:pPr>
    </w:p>
    <w:p w14:paraId="188631A9">
      <w:pPr>
        <w:pStyle w:val="18"/>
        <w:ind w:firstLine="420"/>
        <w:rPr>
          <w:color w:val="000000" w:themeColor="text1"/>
          <w14:textFill>
            <w14:solidFill>
              <w14:schemeClr w14:val="tx1"/>
            </w14:solidFill>
          </w14:textFill>
        </w:rPr>
      </w:pPr>
    </w:p>
    <w:p w14:paraId="4A1A1C6B">
      <w:pPr>
        <w:spacing w:line="400" w:lineRule="atLeast"/>
        <w:ind w:firstLine="0" w:firstLineChars="0"/>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注：各供应商必须拟定目录</w:t>
      </w:r>
      <w:bookmarkStart w:id="224" w:name="_Toc144974857"/>
      <w:bookmarkStart w:id="225" w:name="_Toc443200892"/>
      <w:bookmarkStart w:id="226" w:name="_Toc247514247"/>
      <w:bookmarkStart w:id="227" w:name="_Toc152045788"/>
      <w:bookmarkStart w:id="228" w:name="_Toc247527828"/>
      <w:bookmarkStart w:id="229" w:name="_Toc152042577"/>
    </w:p>
    <w:p w14:paraId="56AE8510">
      <w:pPr>
        <w:pStyle w:val="19"/>
        <w:ind w:left="63" w:right="63" w:firstLine="300"/>
        <w:rPr>
          <w:rFonts w:eastAsia="黑体"/>
          <w:color w:val="000000" w:themeColor="text1"/>
          <w:sz w:val="30"/>
          <w:szCs w:val="30"/>
          <w14:textFill>
            <w14:solidFill>
              <w14:schemeClr w14:val="tx1"/>
            </w14:solidFill>
          </w14:textFill>
        </w:rPr>
      </w:pPr>
    </w:p>
    <w:p w14:paraId="57EAB12B">
      <w:pPr>
        <w:pStyle w:val="19"/>
        <w:ind w:left="63" w:right="63" w:firstLine="300"/>
        <w:rPr>
          <w:rFonts w:eastAsia="黑体"/>
          <w:color w:val="000000" w:themeColor="text1"/>
          <w:sz w:val="30"/>
          <w:szCs w:val="30"/>
          <w14:textFill>
            <w14:solidFill>
              <w14:schemeClr w14:val="tx1"/>
            </w14:solidFill>
          </w14:textFill>
        </w:rPr>
      </w:pPr>
    </w:p>
    <w:p w14:paraId="39D8B486">
      <w:pPr>
        <w:pStyle w:val="19"/>
        <w:ind w:left="63" w:right="63" w:firstLine="300"/>
        <w:rPr>
          <w:rFonts w:eastAsia="黑体"/>
          <w:color w:val="000000" w:themeColor="text1"/>
          <w:sz w:val="30"/>
          <w:szCs w:val="30"/>
          <w14:textFill>
            <w14:solidFill>
              <w14:schemeClr w14:val="tx1"/>
            </w14:solidFill>
          </w14:textFill>
        </w:rPr>
      </w:pPr>
    </w:p>
    <w:p w14:paraId="7940C6CD">
      <w:pPr>
        <w:pStyle w:val="19"/>
        <w:ind w:left="63" w:right="63" w:firstLine="300"/>
        <w:rPr>
          <w:rFonts w:eastAsia="黑体"/>
          <w:color w:val="000000" w:themeColor="text1"/>
          <w:sz w:val="30"/>
          <w:szCs w:val="30"/>
          <w14:textFill>
            <w14:solidFill>
              <w14:schemeClr w14:val="tx1"/>
            </w14:solidFill>
          </w14:textFill>
        </w:rPr>
        <w:sectPr>
          <w:pgSz w:w="11905" w:h="16838"/>
          <w:pgMar w:top="1440" w:right="1803" w:bottom="1440" w:left="1803" w:header="850" w:footer="850" w:gutter="0"/>
          <w:cols w:space="0" w:num="1"/>
          <w:docGrid w:linePitch="312" w:charSpace="0"/>
        </w:sectPr>
      </w:pPr>
    </w:p>
    <w:p w14:paraId="759F2E56">
      <w:pPr>
        <w:pStyle w:val="3"/>
      </w:pPr>
      <w:bookmarkStart w:id="230" w:name="_Toc8735"/>
      <w:bookmarkStart w:id="231" w:name="_Toc23423"/>
      <w:r>
        <w:t>一、响应函</w:t>
      </w:r>
      <w:bookmarkEnd w:id="230"/>
      <w:bookmarkEnd w:id="231"/>
    </w:p>
    <w:p w14:paraId="0F313C3B">
      <w:pPr>
        <w:pStyle w:val="114"/>
        <w:spacing w:line="400" w:lineRule="atLeast"/>
        <w:ind w:firstLine="0" w:firstLineChars="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iCs/>
          <w:color w:val="000000" w:themeColor="text1"/>
          <w:sz w:val="24"/>
          <w:szCs w:val="24"/>
          <w:u w:val="single"/>
          <w14:textFill>
            <w14:solidFill>
              <w14:schemeClr w14:val="tx1"/>
            </w14:solidFill>
          </w14:textFill>
        </w:rPr>
        <w:t>致（采购人）</w:t>
      </w:r>
      <w:r>
        <w:rPr>
          <w:rFonts w:ascii="Times New Roman" w:hAnsi="Times New Roman" w:eastAsia="宋体"/>
          <w:color w:val="000000" w:themeColor="text1"/>
          <w:sz w:val="24"/>
          <w:szCs w:val="24"/>
          <w14:textFill>
            <w14:solidFill>
              <w14:schemeClr w14:val="tx1"/>
            </w14:solidFill>
          </w14:textFill>
        </w:rPr>
        <w:t>：</w:t>
      </w:r>
    </w:p>
    <w:p w14:paraId="1B6696A8">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1.我方已全面阅读和研究了关于</w:t>
      </w:r>
      <w:r>
        <w:rPr>
          <w:rFonts w:hint="eastAsia"/>
          <w:color w:val="000000" w:themeColor="text1"/>
          <w:sz w:val="24"/>
          <w:u w:val="single"/>
          <w:lang w:eastAsia="zh-CN"/>
          <w14:textFill>
            <w14:solidFill>
              <w14:schemeClr w14:val="tx1"/>
            </w14:solidFill>
          </w14:textFill>
        </w:rPr>
        <w:t>徐圩新区增量配电网输配电线路防外破改造施工回流线采购</w:t>
      </w:r>
      <w:r>
        <w:rPr>
          <w:color w:val="000000" w:themeColor="text1"/>
          <w:sz w:val="24"/>
          <w14:textFill>
            <w14:solidFill>
              <w14:schemeClr w14:val="tx1"/>
            </w14:solidFill>
          </w14:textFill>
        </w:rPr>
        <w:t>竞争性谈判文件，充分理解并掌握本项目谈判的全部有关情况。现经我方认真分析研究，同意接受贵方的全部要约条件，</w:t>
      </w:r>
      <w:r>
        <w:rPr>
          <w:sz w:val="24"/>
        </w:rPr>
        <w:t>以人民币（大写） __________元（RMB￥__________元）</w:t>
      </w:r>
      <w:r>
        <w:rPr>
          <w:bCs/>
          <w:sz w:val="24"/>
        </w:rPr>
        <w:t>作为本项目的报价（其中增值税税率为</w:t>
      </w:r>
      <w:r>
        <w:rPr>
          <w:bCs/>
          <w:sz w:val="24"/>
          <w:u w:val="single"/>
        </w:rPr>
        <w:t xml:space="preserve"> 13 </w:t>
      </w:r>
      <w:r>
        <w:rPr>
          <w:bCs/>
          <w:sz w:val="24"/>
        </w:rPr>
        <w:t>%）（详见报价清单），</w:t>
      </w:r>
      <w:r>
        <w:rPr>
          <w:color w:val="000000" w:themeColor="text1"/>
          <w:sz w:val="24"/>
          <w14:textFill>
            <w14:solidFill>
              <w14:schemeClr w14:val="tx1"/>
            </w14:solidFill>
          </w14:textFill>
        </w:rPr>
        <w:t>并按本项目谈判文件要求完成本项目，并承担任何质量缺陷责任</w:t>
      </w:r>
      <w:r>
        <w:rPr>
          <w:bCs/>
          <w:sz w:val="24"/>
        </w:rPr>
        <w:t>。</w:t>
      </w:r>
    </w:p>
    <w:p w14:paraId="6210AFD0">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2.我方保证供货质量达到</w:t>
      </w:r>
      <w:r>
        <w:rPr>
          <w:color w:val="000000" w:themeColor="text1"/>
          <w:sz w:val="24"/>
          <w:u w:val="single"/>
          <w14:textFill>
            <w14:solidFill>
              <w14:schemeClr w14:val="tx1"/>
            </w14:solidFill>
          </w14:textFill>
        </w:rPr>
        <w:t xml:space="preserve">  合格  </w:t>
      </w:r>
      <w:r>
        <w:rPr>
          <w:color w:val="000000" w:themeColor="text1"/>
          <w:sz w:val="24"/>
          <w14:textFill>
            <w14:solidFill>
              <w14:schemeClr w14:val="tx1"/>
            </w14:solidFill>
          </w14:textFill>
        </w:rPr>
        <w:t>标准，</w:t>
      </w:r>
      <w:r>
        <w:rPr>
          <w:sz w:val="24"/>
        </w:rPr>
        <w:t>符合竞争性谈判文件及采购需求，</w:t>
      </w:r>
      <w:r>
        <w:rPr>
          <w:color w:val="000000" w:themeColor="text1"/>
          <w:sz w:val="24"/>
          <w14:textFill>
            <w14:solidFill>
              <w14:schemeClr w14:val="tx1"/>
            </w14:solidFill>
          </w14:textFill>
        </w:rPr>
        <w:t>供货期</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15</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日历天，实际供货日期以甲方通知为准。</w:t>
      </w:r>
    </w:p>
    <w:p w14:paraId="3AC4F7DE">
      <w:pPr>
        <w:spacing w:line="400" w:lineRule="atLeast"/>
        <w:ind w:firstLine="480"/>
        <w:rPr>
          <w:bCs/>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bCs/>
          <w:color w:val="000000" w:themeColor="text1"/>
          <w:sz w:val="24"/>
          <w14:textFill>
            <w14:solidFill>
              <w14:schemeClr w14:val="tx1"/>
            </w14:solidFill>
          </w14:textFill>
        </w:rPr>
        <w:t>我方授权委托</w:t>
      </w:r>
      <w:r>
        <w:rPr>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同志（身份证号：</w:t>
      </w:r>
      <w:r>
        <w:rPr>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电话：_______________</w:t>
      </w:r>
      <w:r>
        <w:rPr>
          <w:bCs/>
          <w:color w:val="000000" w:themeColor="text1"/>
          <w:sz w:val="24"/>
          <w14:textFill>
            <w14:solidFill>
              <w14:schemeClr w14:val="tx1"/>
            </w14:solidFill>
          </w14:textFill>
        </w:rPr>
        <w:t>）作为我方代表参加谈判会议。</w:t>
      </w:r>
    </w:p>
    <w:p w14:paraId="4A6A7F8F">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4．我方承诺在谈判文件规定的谈判有效期内不修改、撤销响应文件</w:t>
      </w:r>
      <w:r>
        <w:rPr>
          <w:color w:val="000000"/>
          <w:sz w:val="24"/>
        </w:rPr>
        <w:t>，</w:t>
      </w:r>
      <w:r>
        <w:rPr>
          <w:bCs/>
          <w:sz w:val="24"/>
        </w:rPr>
        <w:t>在本次谈判过程中无弄虚作假和串通参与谈判等违法、违规行为，并愿意承担因弄虚作假和串通参与谈判所引起的一切法律责任</w:t>
      </w:r>
      <w:r>
        <w:rPr>
          <w:color w:val="000000" w:themeColor="text1"/>
          <w:sz w:val="24"/>
          <w14:textFill>
            <w14:solidFill>
              <w14:schemeClr w14:val="tx1"/>
            </w14:solidFill>
          </w14:textFill>
        </w:rPr>
        <w:t>。</w:t>
      </w:r>
    </w:p>
    <w:p w14:paraId="0B4EB78F">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5．如果我方成交，将派出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w:t>
      </w:r>
      <w:r>
        <w:rPr>
          <w:bCs/>
          <w:color w:val="000000" w:themeColor="text1"/>
          <w:sz w:val="24"/>
          <w14:textFill>
            <w14:solidFill>
              <w14:schemeClr w14:val="tx1"/>
            </w14:solidFill>
          </w14:textFill>
        </w:rPr>
        <w:t>身份证号：</w:t>
      </w:r>
      <w:r>
        <w:rPr>
          <w:bCs/>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）作为本项目的项目负责人。</w:t>
      </w:r>
    </w:p>
    <w:p w14:paraId="60E3F581">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6．如我方成交：</w:t>
      </w:r>
    </w:p>
    <w:p w14:paraId="7C16BD6A">
      <w:pPr>
        <w:spacing w:line="400" w:lineRule="atLeast"/>
        <w:ind w:firstLine="283" w:firstLineChars="118"/>
        <w:rPr>
          <w:color w:val="000000" w:themeColor="text1"/>
          <w:sz w:val="24"/>
          <w14:textFill>
            <w14:solidFill>
              <w14:schemeClr w14:val="tx1"/>
            </w14:solidFill>
          </w14:textFill>
        </w:rPr>
      </w:pPr>
      <w:r>
        <w:rPr>
          <w:color w:val="000000" w:themeColor="text1"/>
          <w:sz w:val="24"/>
          <w14:textFill>
            <w14:solidFill>
              <w14:schemeClr w14:val="tx1"/>
            </w14:solidFill>
          </w14:textFill>
        </w:rPr>
        <w:t>（1）我方承诺在收到成交通知书后，在成交通知书规定的期限内与你方签订合同。</w:t>
      </w:r>
    </w:p>
    <w:p w14:paraId="30E2D05A">
      <w:pPr>
        <w:spacing w:line="400" w:lineRule="atLeast"/>
        <w:ind w:firstLine="283" w:firstLineChars="118"/>
        <w:rPr>
          <w:color w:val="000000" w:themeColor="text1"/>
          <w:sz w:val="24"/>
          <w14:textFill>
            <w14:solidFill>
              <w14:schemeClr w14:val="tx1"/>
            </w14:solidFill>
          </w14:textFill>
        </w:rPr>
      </w:pPr>
      <w:r>
        <w:rPr>
          <w:color w:val="000000" w:themeColor="text1"/>
          <w:sz w:val="24"/>
          <w14:textFill>
            <w14:solidFill>
              <w14:schemeClr w14:val="tx1"/>
            </w14:solidFill>
          </w14:textFill>
        </w:rPr>
        <w:t>（2）我方承诺按照谈判文件规定向你方递交</w:t>
      </w:r>
      <w:r>
        <w:rPr>
          <w:rFonts w:hint="eastAsia"/>
          <w:color w:val="000000" w:themeColor="text1"/>
          <w:sz w:val="24"/>
          <w14:textFill>
            <w14:solidFill>
              <w14:schemeClr w14:val="tx1"/>
            </w14:solidFill>
          </w14:textFill>
        </w:rPr>
        <w:t>预付款保函</w:t>
      </w:r>
      <w:r>
        <w:rPr>
          <w:color w:val="000000" w:themeColor="text1"/>
          <w:sz w:val="24"/>
          <w14:textFill>
            <w14:solidFill>
              <w14:schemeClr w14:val="tx1"/>
            </w14:solidFill>
          </w14:textFill>
        </w:rPr>
        <w:t>。</w:t>
      </w:r>
    </w:p>
    <w:p w14:paraId="0ACC7D51">
      <w:pPr>
        <w:spacing w:line="400" w:lineRule="atLeast"/>
        <w:ind w:firstLine="283" w:firstLineChars="118"/>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）我方将严格履行响应文件中的全部承诺和责任，并遵守谈判文件中对供应商的所有规定。</w:t>
      </w:r>
    </w:p>
    <w:p w14:paraId="605A25D2">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7．我方在此声明，所递交的响应文件及有关资料内容完整、真实和准确，且不存在第二章“供应商须知”第1.4.3项规定的任何一种情形。</w:t>
      </w:r>
    </w:p>
    <w:p w14:paraId="3B6C72EA">
      <w:pPr>
        <w:adjustRightInd w:val="0"/>
        <w:snapToGrid w:val="0"/>
        <w:spacing w:line="400" w:lineRule="atLeast"/>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8．我方在此声明，不出借（挂靠）营业执照（资质证书），如成交中、成交后被发现存在出借（挂靠）营业执照（资质证书）的行为，愿意无条件接受被取消成交资格及成交（候选人）资格、</w:t>
      </w:r>
      <w:r>
        <w:rPr>
          <w:rFonts w:hint="eastAsia"/>
          <w:bCs/>
          <w:color w:val="000000" w:themeColor="text1"/>
          <w:sz w:val="24"/>
          <w:lang w:eastAsia="zh-CN"/>
          <w14:textFill>
            <w14:solidFill>
              <w14:schemeClr w14:val="tx1"/>
            </w14:solidFill>
          </w14:textFill>
        </w:rPr>
        <w:t>谈判保证金不予退还、履约保证金不予退还、</w:t>
      </w:r>
      <w:r>
        <w:rPr>
          <w:sz w:val="24"/>
        </w:rPr>
        <w:t>合同无效且按发包人要求清除出场</w:t>
      </w:r>
      <w:r>
        <w:rPr>
          <w:bCs/>
          <w:color w:val="000000" w:themeColor="text1"/>
          <w:sz w:val="24"/>
          <w14:textFill>
            <w14:solidFill>
              <w14:schemeClr w14:val="tx1"/>
            </w14:solidFill>
          </w14:textFill>
        </w:rPr>
        <w:t>，一切损失自行承担。</w:t>
      </w:r>
    </w:p>
    <w:p w14:paraId="277421CF">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9．（其他补充说明）。</w:t>
      </w:r>
    </w:p>
    <w:p w14:paraId="4ACCAE0D">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u w:val="single"/>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供应商(公章)：</w:t>
      </w:r>
    </w:p>
    <w:p w14:paraId="32D24D5F">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u w:val="single"/>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法人代表或授权委托人（签字或印章）：</w:t>
      </w:r>
    </w:p>
    <w:p w14:paraId="5DE0A8D5">
      <w:pPr>
        <w:pStyle w:val="114"/>
        <w:tabs>
          <w:tab w:val="left" w:pos="5665"/>
          <w:tab w:val="right" w:pos="8360"/>
        </w:tabs>
        <w:spacing w:line="400" w:lineRule="atLeast"/>
        <w:ind w:right="42" w:firstLine="2834" w:firstLineChars="1181"/>
        <w:rPr>
          <w:color w:val="000000" w:themeColor="text1"/>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日期：____________________________________</w:t>
      </w:r>
      <w:r>
        <w:rPr>
          <w:color w:val="000000" w:themeColor="text1"/>
          <w14:textFill>
            <w14:solidFill>
              <w14:schemeClr w14:val="tx1"/>
            </w14:solidFill>
          </w14:textFill>
        </w:rPr>
        <w:br w:type="page"/>
      </w:r>
    </w:p>
    <w:p w14:paraId="2D75C857">
      <w:pPr>
        <w:pStyle w:val="3"/>
        <w:rPr>
          <w:szCs w:val="21"/>
        </w:rPr>
      </w:pPr>
      <w:bookmarkStart w:id="232" w:name="_Toc31764"/>
      <w:r>
        <w:t>二、法定代表人身份证明</w:t>
      </w:r>
      <w:bookmarkEnd w:id="232"/>
    </w:p>
    <w:p w14:paraId="01D80C71">
      <w:pPr>
        <w:spacing w:line="400" w:lineRule="atLeast"/>
        <w:ind w:firstLine="480"/>
        <w:jc w:val="left"/>
        <w:rPr>
          <w:color w:val="000000" w:themeColor="text1"/>
          <w:sz w:val="24"/>
          <w14:textFill>
            <w14:solidFill>
              <w14:schemeClr w14:val="tx1"/>
            </w14:solidFill>
          </w14:textFill>
        </w:rPr>
      </w:pPr>
    </w:p>
    <w:p w14:paraId="1553AE45">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p>
    <w:p w14:paraId="253B2608">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单位性质：</w:t>
      </w:r>
    </w:p>
    <w:p w14:paraId="317F0450">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地址：</w:t>
      </w:r>
    </w:p>
    <w:p w14:paraId="69E9B5C0">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    年  月  日</w:t>
      </w:r>
    </w:p>
    <w:p w14:paraId="1770EC08">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经营期限：</w:t>
      </w:r>
    </w:p>
    <w:p w14:paraId="07B018A2">
      <w:pPr>
        <w:spacing w:line="400" w:lineRule="atLeast"/>
        <w:ind w:firstLine="48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姓名：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性别：</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年龄：</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职务：</w:t>
      </w:r>
      <w:r>
        <w:rPr>
          <w:color w:val="000000" w:themeColor="text1"/>
          <w:sz w:val="24"/>
          <w:u w:val="single"/>
          <w14:textFill>
            <w14:solidFill>
              <w14:schemeClr w14:val="tx1"/>
            </w14:solidFill>
          </w14:textFill>
        </w:rPr>
        <w:t xml:space="preserve">      </w:t>
      </w:r>
    </w:p>
    <w:p w14:paraId="7F192F3B">
      <w:pP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系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（供应商名称）的法定代表人。</w:t>
      </w:r>
    </w:p>
    <w:p w14:paraId="417DD310">
      <w:pPr>
        <w:spacing w:line="400" w:lineRule="atLeast"/>
        <w:ind w:firstLine="420"/>
        <w:jc w:val="left"/>
        <w:rPr>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258445</wp:posOffset>
                </wp:positionV>
                <wp:extent cx="5506720" cy="3255645"/>
                <wp:effectExtent l="4445" t="4445" r="13335" b="16510"/>
                <wp:wrapNone/>
                <wp:docPr id="3" name="Text Box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4AB54F8B">
                            <w:pPr>
                              <w:spacing w:line="360" w:lineRule="auto"/>
                              <w:ind w:firstLine="480"/>
                              <w:rPr>
                                <w:sz w:val="24"/>
                              </w:rPr>
                            </w:pPr>
                          </w:p>
                          <w:p w14:paraId="477EAF5F">
                            <w:pPr>
                              <w:spacing w:line="360" w:lineRule="auto"/>
                              <w:ind w:firstLine="480"/>
                              <w:rPr>
                                <w:sz w:val="24"/>
                              </w:rPr>
                            </w:pPr>
                            <w:r>
                              <w:rPr>
                                <w:rFonts w:hint="eastAsia"/>
                                <w:sz w:val="24"/>
                              </w:rPr>
                              <w:t>附：法定代表人身份证复印件。</w:t>
                            </w:r>
                          </w:p>
                          <w:p w14:paraId="1847DC4E">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05pt;margin-top:20.35pt;height:256.35pt;width:433.6pt;z-index:251662336;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fill on="t" focussize="0,0"/>
                <v:stroke color="#000000" miterlimit="8" joinstyle="miter"/>
                <v:imagedata o:title=""/>
                <o:lock v:ext="edit" aspectratio="f"/>
                <v:textbox>
                  <w:txbxContent>
                    <w:p w14:paraId="4AB54F8B">
                      <w:pPr>
                        <w:spacing w:line="360" w:lineRule="auto"/>
                        <w:ind w:firstLine="480"/>
                        <w:rPr>
                          <w:sz w:val="24"/>
                        </w:rPr>
                      </w:pPr>
                    </w:p>
                    <w:p w14:paraId="477EAF5F">
                      <w:pPr>
                        <w:spacing w:line="360" w:lineRule="auto"/>
                        <w:ind w:firstLine="480"/>
                        <w:rPr>
                          <w:sz w:val="24"/>
                        </w:rPr>
                      </w:pPr>
                      <w:r>
                        <w:rPr>
                          <w:rFonts w:hint="eastAsia"/>
                          <w:sz w:val="24"/>
                        </w:rPr>
                        <w:t>附：法定代表人身份证复印件。</w:t>
                      </w:r>
                    </w:p>
                    <w:p w14:paraId="1847DC4E">
                      <w:pPr>
                        <w:ind w:firstLine="420"/>
                      </w:pPr>
                    </w:p>
                  </w:txbxContent>
                </v:textbox>
              </v:shape>
            </w:pict>
          </mc:Fallback>
        </mc:AlternateContent>
      </w:r>
      <w:r>
        <w:rPr>
          <w:color w:val="000000" w:themeColor="text1"/>
          <w:sz w:val="24"/>
          <w14:textFill>
            <w14:solidFill>
              <w14:schemeClr w14:val="tx1"/>
            </w14:solidFill>
          </w14:textFill>
        </w:rPr>
        <w:t>特此证明。</w:t>
      </w:r>
    </w:p>
    <w:p w14:paraId="1FA34F1F">
      <w:pPr>
        <w:spacing w:line="400" w:lineRule="atLeast"/>
        <w:ind w:firstLine="420"/>
        <w:rPr>
          <w:color w:val="000000" w:themeColor="text1"/>
          <w:szCs w:val="21"/>
          <w14:textFill>
            <w14:solidFill>
              <w14:schemeClr w14:val="tx1"/>
            </w14:solidFill>
          </w14:textFill>
        </w:rPr>
      </w:pPr>
    </w:p>
    <w:p w14:paraId="36C91D84">
      <w:pPr>
        <w:spacing w:line="400" w:lineRule="atLeast"/>
        <w:ind w:firstLine="480"/>
        <w:rPr>
          <w:color w:val="000000" w:themeColor="text1"/>
          <w:sz w:val="24"/>
          <w14:textFill>
            <w14:solidFill>
              <w14:schemeClr w14:val="tx1"/>
            </w14:solidFill>
          </w14:textFill>
        </w:rPr>
      </w:pPr>
    </w:p>
    <w:p w14:paraId="7EA91FF4">
      <w:pPr>
        <w:spacing w:line="400" w:lineRule="atLeast"/>
        <w:ind w:firstLine="480"/>
        <w:rPr>
          <w:color w:val="000000" w:themeColor="text1"/>
          <w:sz w:val="24"/>
          <w14:textFill>
            <w14:solidFill>
              <w14:schemeClr w14:val="tx1"/>
            </w14:solidFill>
          </w14:textFill>
        </w:rPr>
      </w:pPr>
    </w:p>
    <w:p w14:paraId="7C79C660">
      <w:pPr>
        <w:spacing w:line="400" w:lineRule="atLeast"/>
        <w:ind w:firstLine="480"/>
        <w:rPr>
          <w:color w:val="000000" w:themeColor="text1"/>
          <w:sz w:val="24"/>
          <w14:textFill>
            <w14:solidFill>
              <w14:schemeClr w14:val="tx1"/>
            </w14:solidFill>
          </w14:textFill>
        </w:rPr>
      </w:pPr>
    </w:p>
    <w:p w14:paraId="234D3B1F">
      <w:pPr>
        <w:spacing w:line="400" w:lineRule="atLeast"/>
        <w:ind w:firstLine="480"/>
        <w:rPr>
          <w:color w:val="000000" w:themeColor="text1"/>
          <w:sz w:val="24"/>
          <w14:textFill>
            <w14:solidFill>
              <w14:schemeClr w14:val="tx1"/>
            </w14:solidFill>
          </w14:textFill>
        </w:rPr>
      </w:pPr>
    </w:p>
    <w:p w14:paraId="5E232973">
      <w:pPr>
        <w:spacing w:line="400" w:lineRule="atLeast"/>
        <w:ind w:firstLine="480"/>
        <w:rPr>
          <w:color w:val="000000" w:themeColor="text1"/>
          <w:sz w:val="24"/>
          <w14:textFill>
            <w14:solidFill>
              <w14:schemeClr w14:val="tx1"/>
            </w14:solidFill>
          </w14:textFill>
        </w:rPr>
      </w:pPr>
    </w:p>
    <w:p w14:paraId="3584D4BA">
      <w:pPr>
        <w:spacing w:line="400" w:lineRule="atLeast"/>
        <w:ind w:firstLine="480"/>
        <w:rPr>
          <w:color w:val="000000" w:themeColor="text1"/>
          <w:sz w:val="24"/>
          <w14:textFill>
            <w14:solidFill>
              <w14:schemeClr w14:val="tx1"/>
            </w14:solidFill>
          </w14:textFill>
        </w:rPr>
      </w:pPr>
    </w:p>
    <w:p w14:paraId="1C159F6A">
      <w:pPr>
        <w:spacing w:line="400" w:lineRule="atLeast"/>
        <w:ind w:firstLine="480"/>
        <w:rPr>
          <w:color w:val="000000" w:themeColor="text1"/>
          <w:sz w:val="24"/>
          <w14:textFill>
            <w14:solidFill>
              <w14:schemeClr w14:val="tx1"/>
            </w14:solidFill>
          </w14:textFill>
        </w:rPr>
      </w:pPr>
    </w:p>
    <w:p w14:paraId="7795C09D">
      <w:pPr>
        <w:spacing w:line="400" w:lineRule="atLeast"/>
        <w:ind w:firstLine="480"/>
        <w:rPr>
          <w:color w:val="000000" w:themeColor="text1"/>
          <w:sz w:val="24"/>
          <w14:textFill>
            <w14:solidFill>
              <w14:schemeClr w14:val="tx1"/>
            </w14:solidFill>
          </w14:textFill>
        </w:rPr>
      </w:pPr>
    </w:p>
    <w:p w14:paraId="6DC5EF85">
      <w:pPr>
        <w:spacing w:line="400" w:lineRule="atLeast"/>
        <w:ind w:firstLine="480"/>
        <w:rPr>
          <w:color w:val="000000" w:themeColor="text1"/>
          <w:sz w:val="24"/>
          <w14:textFill>
            <w14:solidFill>
              <w14:schemeClr w14:val="tx1"/>
            </w14:solidFill>
          </w14:textFill>
        </w:rPr>
      </w:pPr>
    </w:p>
    <w:p w14:paraId="0392E8D5">
      <w:pPr>
        <w:spacing w:line="400" w:lineRule="atLeast"/>
        <w:ind w:firstLine="480"/>
        <w:rPr>
          <w:color w:val="000000" w:themeColor="text1"/>
          <w:sz w:val="24"/>
          <w14:textFill>
            <w14:solidFill>
              <w14:schemeClr w14:val="tx1"/>
            </w14:solidFill>
          </w14:textFill>
        </w:rPr>
      </w:pPr>
    </w:p>
    <w:p w14:paraId="1159D5F7">
      <w:pPr>
        <w:spacing w:line="400" w:lineRule="atLeast"/>
        <w:ind w:firstLine="480"/>
        <w:jc w:val="right"/>
        <w:rPr>
          <w:color w:val="000000" w:themeColor="text1"/>
          <w:sz w:val="24"/>
          <w14:textFill>
            <w14:solidFill>
              <w14:schemeClr w14:val="tx1"/>
            </w14:solidFill>
          </w14:textFill>
        </w:rPr>
      </w:pPr>
    </w:p>
    <w:p w14:paraId="4098359B">
      <w:pPr>
        <w:spacing w:line="400" w:lineRule="atLeast"/>
        <w:ind w:firstLine="480"/>
        <w:jc w:val="right"/>
        <w:rPr>
          <w:color w:val="000000" w:themeColor="text1"/>
          <w:sz w:val="24"/>
          <w14:textFill>
            <w14:solidFill>
              <w14:schemeClr w14:val="tx1"/>
            </w14:solidFill>
          </w14:textFill>
        </w:rPr>
      </w:pPr>
    </w:p>
    <w:p w14:paraId="230B4D6E">
      <w:pPr>
        <w:spacing w:line="400" w:lineRule="atLeast"/>
        <w:ind w:firstLine="480"/>
        <w:jc w:val="right"/>
        <w:rPr>
          <w:color w:val="000000" w:themeColor="text1"/>
          <w:sz w:val="24"/>
          <w14:textFill>
            <w14:solidFill>
              <w14:schemeClr w14:val="tx1"/>
            </w14:solidFill>
          </w14:textFill>
        </w:rPr>
      </w:pPr>
    </w:p>
    <w:p w14:paraId="536D6CCD">
      <w:pPr>
        <w:spacing w:line="400" w:lineRule="atLeast"/>
        <w:ind w:firstLine="480"/>
        <w:jc w:val="right"/>
        <w:rPr>
          <w:color w:val="000000" w:themeColor="text1"/>
          <w:sz w:val="24"/>
          <w14:textFill>
            <w14:solidFill>
              <w14:schemeClr w14:val="tx1"/>
            </w14:solidFill>
          </w14:textFill>
        </w:rPr>
      </w:pPr>
    </w:p>
    <w:p w14:paraId="22D189ED">
      <w:pPr>
        <w:spacing w:line="400" w:lineRule="atLeast"/>
        <w:ind w:right="480"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供应商：（盖单位章）</w:t>
      </w:r>
    </w:p>
    <w:p w14:paraId="141317C7">
      <w:pPr>
        <w:spacing w:line="400" w:lineRule="atLeast"/>
        <w:ind w:firstLine="480"/>
        <w:jc w:val="center"/>
        <w:rPr>
          <w:color w:val="000000" w:themeColor="text1"/>
          <w:sz w:val="20"/>
          <w:szCs w:val="20"/>
          <w14:textFill>
            <w14:solidFill>
              <w14:schemeClr w14:val="tx1"/>
            </w14:solidFill>
          </w14:textFill>
        </w:rPr>
      </w:pPr>
      <w:r>
        <w:rPr>
          <w:color w:val="000000" w:themeColor="text1"/>
          <w:sz w:val="24"/>
          <w14:textFill>
            <w14:solidFill>
              <w14:schemeClr w14:val="tx1"/>
            </w14:solidFill>
          </w14:textFill>
        </w:rPr>
        <w:t xml:space="preserve">                年   月   日</w:t>
      </w:r>
    </w:p>
    <w:p w14:paraId="2DF8032C">
      <w:pPr>
        <w:pStyle w:val="18"/>
        <w:ind w:firstLine="420"/>
        <w:rPr>
          <w:color w:val="000000" w:themeColor="text1"/>
          <w14:textFill>
            <w14:solidFill>
              <w14:schemeClr w14:val="tx1"/>
            </w14:solidFill>
          </w14:textFill>
        </w:rPr>
      </w:pPr>
    </w:p>
    <w:p w14:paraId="34F11F68">
      <w:pPr>
        <w:pStyle w:val="18"/>
        <w:ind w:firstLine="420"/>
        <w:rPr>
          <w:color w:val="000000" w:themeColor="text1"/>
          <w14:textFill>
            <w14:solidFill>
              <w14:schemeClr w14:val="tx1"/>
            </w14:solidFill>
          </w14:textFill>
        </w:rPr>
      </w:pPr>
    </w:p>
    <w:p w14:paraId="384DBC79">
      <w:pPr>
        <w:widowControl/>
        <w:ind w:firstLine="422"/>
        <w:jc w:val="left"/>
        <w:rPr>
          <w:rFonts w:eastAsia="黑体"/>
          <w:color w:val="000000" w:themeColor="text1"/>
          <w:sz w:val="32"/>
          <w:szCs w:val="20"/>
          <w14:textFill>
            <w14:solidFill>
              <w14:schemeClr w14:val="tx1"/>
            </w14:solidFill>
          </w14:textFill>
        </w:rPr>
      </w:pPr>
      <w:r>
        <w:rPr>
          <w:b/>
          <w:color w:val="000000" w:themeColor="text1"/>
          <w14:textFill>
            <w14:solidFill>
              <w14:schemeClr w14:val="tx1"/>
            </w14:solidFill>
          </w14:textFill>
        </w:rPr>
        <w:br w:type="page"/>
      </w:r>
    </w:p>
    <w:p w14:paraId="5A09BFC7">
      <w:pPr>
        <w:pStyle w:val="3"/>
      </w:pPr>
      <w:bookmarkStart w:id="233" w:name="_Toc17178"/>
      <w:r>
        <w:t>三、法定代表人授权委托书</w:t>
      </w:r>
      <w:bookmarkEnd w:id="233"/>
    </w:p>
    <w:p w14:paraId="7C477FC3">
      <w:pPr>
        <w:spacing w:line="400" w:lineRule="atLeast"/>
        <w:ind w:firstLine="420"/>
        <w:rPr>
          <w:color w:val="000000" w:themeColor="text1"/>
          <w:szCs w:val="21"/>
          <w14:textFill>
            <w14:solidFill>
              <w14:schemeClr w14:val="tx1"/>
            </w14:solidFill>
          </w14:textFill>
        </w:rPr>
      </w:pPr>
    </w:p>
    <w:p w14:paraId="01F1A2BD">
      <w:pPr>
        <w:topLinePunct/>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（姓名）系</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（供应商）的法定代表人，现委托</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（姓名）为我方代理人。代理人根据授权，以我方名义签署、澄清、说明、补正、递交、撤回、修改</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（项目名称）响应文件、签订合同和处理有关事宜，其法律后果由我方承担。</w:t>
      </w:r>
    </w:p>
    <w:p w14:paraId="2153E388">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委托期限：</w:t>
      </w:r>
      <w:r>
        <w:rPr>
          <w:color w:val="000000" w:themeColor="text1"/>
          <w:sz w:val="24"/>
          <w:u w:val="single"/>
          <w14:textFill>
            <w14:solidFill>
              <w14:schemeClr w14:val="tx1"/>
            </w14:solidFill>
          </w14:textFill>
        </w:rPr>
        <w:t>同谈判有效期</w:t>
      </w:r>
      <w:r>
        <w:rPr>
          <w:color w:val="000000" w:themeColor="text1"/>
          <w:sz w:val="24"/>
          <w14:textFill>
            <w14:solidFill>
              <w14:schemeClr w14:val="tx1"/>
            </w14:solidFill>
          </w14:textFill>
        </w:rPr>
        <w:t>。</w:t>
      </w:r>
    </w:p>
    <w:p w14:paraId="654F7093">
      <w:pP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代理人无转委托权。</w:t>
      </w:r>
    </w:p>
    <w:p w14:paraId="4C47242D">
      <w:pPr>
        <w:spacing w:line="400" w:lineRule="atLeast"/>
        <w:ind w:firstLine="420"/>
        <w:rPr>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81915</wp:posOffset>
                </wp:positionV>
                <wp:extent cx="5506720" cy="2807970"/>
                <wp:effectExtent l="4445" t="4445" r="13335" b="6985"/>
                <wp:wrapNone/>
                <wp:docPr id="2" name="Text Box 2"/>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440CA6A8">
                            <w:pPr>
                              <w:pStyle w:val="44"/>
                              <w:snapToGrid w:val="0"/>
                              <w:spacing w:line="360" w:lineRule="auto"/>
                              <w:ind w:firstLine="480"/>
                              <w:rPr>
                                <w:bCs/>
                              </w:rPr>
                            </w:pPr>
                            <w:r>
                              <w:rPr>
                                <w:rFonts w:hint="eastAsia"/>
                                <w:bCs/>
                              </w:rPr>
                              <w:t>附代理人身份证复印件：</w:t>
                            </w:r>
                          </w:p>
                          <w:p w14:paraId="36D1EA7D">
                            <w:pPr>
                              <w:ind w:firstLine="420"/>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1pt;margin-top:6.45pt;height:221.1pt;width:433.6pt;z-index:251663360;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fill on="t" focussize="0,0"/>
                <v:stroke color="#000000" miterlimit="8" joinstyle="miter"/>
                <v:imagedata o:title=""/>
                <o:lock v:ext="edit" aspectratio="f"/>
                <v:textbox>
                  <w:txbxContent>
                    <w:p w14:paraId="440CA6A8">
                      <w:pPr>
                        <w:pStyle w:val="44"/>
                        <w:snapToGrid w:val="0"/>
                        <w:spacing w:line="360" w:lineRule="auto"/>
                        <w:ind w:firstLine="480"/>
                        <w:rPr>
                          <w:bCs/>
                        </w:rPr>
                      </w:pPr>
                      <w:r>
                        <w:rPr>
                          <w:rFonts w:hint="eastAsia"/>
                          <w:bCs/>
                        </w:rPr>
                        <w:t>附代理人身份证复印件：</w:t>
                      </w:r>
                    </w:p>
                    <w:p w14:paraId="36D1EA7D">
                      <w:pPr>
                        <w:ind w:firstLine="420"/>
                      </w:pPr>
                    </w:p>
                  </w:txbxContent>
                </v:textbox>
              </v:shape>
            </w:pict>
          </mc:Fallback>
        </mc:AlternateContent>
      </w:r>
    </w:p>
    <w:p w14:paraId="1BC15CCB">
      <w:pPr>
        <w:spacing w:line="400" w:lineRule="atLeast"/>
        <w:ind w:firstLine="480"/>
        <w:rPr>
          <w:color w:val="000000" w:themeColor="text1"/>
          <w:sz w:val="24"/>
          <w14:textFill>
            <w14:solidFill>
              <w14:schemeClr w14:val="tx1"/>
            </w14:solidFill>
          </w14:textFill>
        </w:rPr>
      </w:pPr>
    </w:p>
    <w:p w14:paraId="1861B031">
      <w:pPr>
        <w:spacing w:line="400" w:lineRule="atLeast"/>
        <w:ind w:firstLine="480"/>
        <w:rPr>
          <w:color w:val="000000" w:themeColor="text1"/>
          <w:sz w:val="24"/>
          <w14:textFill>
            <w14:solidFill>
              <w14:schemeClr w14:val="tx1"/>
            </w14:solidFill>
          </w14:textFill>
        </w:rPr>
      </w:pPr>
    </w:p>
    <w:p w14:paraId="08F96F92">
      <w:pPr>
        <w:spacing w:line="400" w:lineRule="atLeast"/>
        <w:ind w:firstLine="480"/>
        <w:rPr>
          <w:color w:val="000000" w:themeColor="text1"/>
          <w:sz w:val="24"/>
          <w14:textFill>
            <w14:solidFill>
              <w14:schemeClr w14:val="tx1"/>
            </w14:solidFill>
          </w14:textFill>
        </w:rPr>
      </w:pPr>
    </w:p>
    <w:p w14:paraId="640F80EA">
      <w:pPr>
        <w:spacing w:line="400" w:lineRule="atLeast"/>
        <w:ind w:firstLine="480"/>
        <w:rPr>
          <w:color w:val="000000" w:themeColor="text1"/>
          <w:sz w:val="24"/>
          <w14:textFill>
            <w14:solidFill>
              <w14:schemeClr w14:val="tx1"/>
            </w14:solidFill>
          </w14:textFill>
        </w:rPr>
      </w:pPr>
    </w:p>
    <w:p w14:paraId="30E3689D">
      <w:pPr>
        <w:spacing w:line="400" w:lineRule="atLeast"/>
        <w:ind w:firstLine="480"/>
        <w:rPr>
          <w:color w:val="000000" w:themeColor="text1"/>
          <w:sz w:val="24"/>
          <w14:textFill>
            <w14:solidFill>
              <w14:schemeClr w14:val="tx1"/>
            </w14:solidFill>
          </w14:textFill>
        </w:rPr>
      </w:pPr>
    </w:p>
    <w:p w14:paraId="45BA9361">
      <w:pPr>
        <w:spacing w:line="400" w:lineRule="atLeast"/>
        <w:ind w:firstLine="480"/>
        <w:rPr>
          <w:color w:val="000000" w:themeColor="text1"/>
          <w:sz w:val="24"/>
          <w14:textFill>
            <w14:solidFill>
              <w14:schemeClr w14:val="tx1"/>
            </w14:solidFill>
          </w14:textFill>
        </w:rPr>
      </w:pPr>
    </w:p>
    <w:p w14:paraId="5DD551EF">
      <w:pPr>
        <w:spacing w:line="400" w:lineRule="atLeast"/>
        <w:ind w:firstLine="480"/>
        <w:rPr>
          <w:color w:val="000000" w:themeColor="text1"/>
          <w:sz w:val="24"/>
          <w14:textFill>
            <w14:solidFill>
              <w14:schemeClr w14:val="tx1"/>
            </w14:solidFill>
          </w14:textFill>
        </w:rPr>
      </w:pPr>
    </w:p>
    <w:p w14:paraId="7324BE03">
      <w:pPr>
        <w:spacing w:line="400" w:lineRule="atLeast"/>
        <w:ind w:firstLine="480"/>
        <w:rPr>
          <w:color w:val="000000" w:themeColor="text1"/>
          <w:sz w:val="24"/>
          <w14:textFill>
            <w14:solidFill>
              <w14:schemeClr w14:val="tx1"/>
            </w14:solidFill>
          </w14:textFill>
        </w:rPr>
      </w:pPr>
    </w:p>
    <w:p w14:paraId="5224F422">
      <w:pPr>
        <w:spacing w:line="400" w:lineRule="atLeast"/>
        <w:ind w:firstLine="480"/>
        <w:rPr>
          <w:color w:val="000000" w:themeColor="text1"/>
          <w:sz w:val="24"/>
          <w14:textFill>
            <w14:solidFill>
              <w14:schemeClr w14:val="tx1"/>
            </w14:solidFill>
          </w14:textFill>
        </w:rPr>
      </w:pPr>
    </w:p>
    <w:p w14:paraId="27934261">
      <w:pPr>
        <w:spacing w:line="400" w:lineRule="atLeast"/>
        <w:ind w:firstLine="480"/>
        <w:rPr>
          <w:color w:val="000000" w:themeColor="text1"/>
          <w:sz w:val="24"/>
          <w14:textFill>
            <w14:solidFill>
              <w14:schemeClr w14:val="tx1"/>
            </w14:solidFill>
          </w14:textFill>
        </w:rPr>
      </w:pPr>
    </w:p>
    <w:p w14:paraId="2FA109F2">
      <w:pPr>
        <w:spacing w:line="400" w:lineRule="atLeast"/>
        <w:ind w:firstLine="480"/>
        <w:rPr>
          <w:color w:val="000000" w:themeColor="text1"/>
          <w:sz w:val="24"/>
          <w14:textFill>
            <w14:solidFill>
              <w14:schemeClr w14:val="tx1"/>
            </w14:solidFill>
          </w14:textFill>
        </w:rPr>
      </w:pPr>
    </w:p>
    <w:p w14:paraId="551F55AC">
      <w:pPr>
        <w:spacing w:line="400" w:lineRule="atLeast"/>
        <w:ind w:firstLine="4108" w:firstLineChars="1712"/>
        <w:jc w:val="left"/>
        <w:rPr>
          <w:color w:val="000000" w:themeColor="text1"/>
          <w:sz w:val="24"/>
          <w14:textFill>
            <w14:solidFill>
              <w14:schemeClr w14:val="tx1"/>
            </w14:solidFill>
          </w14:textFill>
        </w:rPr>
      </w:pPr>
    </w:p>
    <w:p w14:paraId="18CC5663">
      <w:pP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供应商：（盖单位章）</w:t>
      </w:r>
    </w:p>
    <w:p w14:paraId="7B34EA81">
      <w:pPr>
        <w:spacing w:line="400" w:lineRule="atLeast"/>
        <w:ind w:firstLine="4108" w:firstLineChars="1712"/>
        <w:jc w:val="left"/>
        <w:rPr>
          <w:color w:val="000000" w:themeColor="text1"/>
          <w:sz w:val="24"/>
          <w14:textFill>
            <w14:solidFill>
              <w14:schemeClr w14:val="tx1"/>
            </w14:solidFill>
          </w14:textFill>
        </w:rPr>
      </w:pPr>
    </w:p>
    <w:p w14:paraId="3E400B42">
      <w:pP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法定代表人：（签字或盖章）</w:t>
      </w:r>
    </w:p>
    <w:p w14:paraId="2D97F2A8">
      <w:pPr>
        <w:spacing w:line="400" w:lineRule="atLeast"/>
        <w:ind w:firstLine="4108" w:firstLineChars="1712"/>
        <w:jc w:val="left"/>
        <w:rPr>
          <w:color w:val="000000" w:themeColor="text1"/>
          <w:sz w:val="24"/>
          <w14:textFill>
            <w14:solidFill>
              <w14:schemeClr w14:val="tx1"/>
            </w14:solidFill>
          </w14:textFill>
        </w:rPr>
      </w:pPr>
    </w:p>
    <w:p w14:paraId="327F29AC">
      <w:pP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p>
    <w:p w14:paraId="6AAEE932">
      <w:pPr>
        <w:spacing w:line="400" w:lineRule="atLeast"/>
        <w:ind w:firstLine="4108" w:firstLineChars="1712"/>
        <w:jc w:val="left"/>
        <w:rPr>
          <w:color w:val="000000" w:themeColor="text1"/>
          <w:sz w:val="24"/>
          <w14:textFill>
            <w14:solidFill>
              <w14:schemeClr w14:val="tx1"/>
            </w14:solidFill>
          </w14:textFill>
        </w:rPr>
      </w:pPr>
    </w:p>
    <w:p w14:paraId="46753522">
      <w:pP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委托代理人：（签字）</w:t>
      </w:r>
    </w:p>
    <w:p w14:paraId="47943760">
      <w:pPr>
        <w:spacing w:line="400" w:lineRule="atLeast"/>
        <w:ind w:firstLine="4108" w:firstLineChars="1712"/>
        <w:jc w:val="left"/>
        <w:rPr>
          <w:color w:val="000000" w:themeColor="text1"/>
          <w:sz w:val="24"/>
          <w14:textFill>
            <w14:solidFill>
              <w14:schemeClr w14:val="tx1"/>
            </w14:solidFill>
          </w14:textFill>
        </w:rPr>
      </w:pPr>
    </w:p>
    <w:p w14:paraId="4BCB3B06">
      <w:pP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p>
    <w:p w14:paraId="61D42340">
      <w:pPr>
        <w:spacing w:line="400" w:lineRule="atLeast"/>
        <w:ind w:firstLine="3595" w:firstLineChars="1712"/>
        <w:jc w:val="left"/>
        <w:rPr>
          <w:color w:val="000000" w:themeColor="text1"/>
          <w:szCs w:val="21"/>
          <w14:textFill>
            <w14:solidFill>
              <w14:schemeClr w14:val="tx1"/>
            </w14:solidFill>
          </w14:textFill>
        </w:rPr>
      </w:pPr>
    </w:p>
    <w:p w14:paraId="28EDA779">
      <w:pPr>
        <w:spacing w:line="400" w:lineRule="atLeast"/>
        <w:ind w:firstLine="4468" w:firstLineChars="186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bookmarkEnd w:id="224"/>
    <w:bookmarkEnd w:id="225"/>
    <w:bookmarkEnd w:id="226"/>
    <w:bookmarkEnd w:id="227"/>
    <w:bookmarkEnd w:id="228"/>
    <w:bookmarkEnd w:id="229"/>
    <w:p w14:paraId="6FE1EA73">
      <w:pPr>
        <w:pStyle w:val="3"/>
        <w:rPr>
          <w:bCs/>
        </w:rPr>
      </w:pPr>
      <w:bookmarkStart w:id="234" w:name="_Toc443200896"/>
      <w:bookmarkStart w:id="235" w:name="_Toc247527835"/>
      <w:bookmarkStart w:id="236" w:name="_Toc144974863"/>
      <w:bookmarkStart w:id="237" w:name="_Toc152042584"/>
      <w:bookmarkStart w:id="238" w:name="_Toc247514287"/>
      <w:bookmarkStart w:id="239" w:name="_Toc152045795"/>
      <w:r>
        <w:br w:type="page"/>
      </w:r>
      <w:bookmarkStart w:id="240" w:name="_Toc23300"/>
      <w:r>
        <w:rPr>
          <w:bCs/>
        </w:rPr>
        <w:t>四</w:t>
      </w:r>
      <w:r>
        <w:t>、供应商承诺书</w:t>
      </w:r>
      <w:bookmarkEnd w:id="240"/>
    </w:p>
    <w:p w14:paraId="1C56331B">
      <w:pPr>
        <w:spacing w:line="400" w:lineRule="atLeast"/>
        <w:ind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（采购人名称）</w:t>
      </w:r>
    </w:p>
    <w:p w14:paraId="78AD8654">
      <w:pPr>
        <w:adjustRightInd w:val="0"/>
        <w:snapToGrid w:val="0"/>
        <w:ind w:firstLine="480"/>
        <w:rPr>
          <w:sz w:val="24"/>
        </w:rPr>
      </w:pPr>
      <w:r>
        <w:rPr>
          <w:sz w:val="24"/>
        </w:rPr>
        <w:t>本人</w:t>
      </w:r>
      <w:r>
        <w:rPr>
          <w:sz w:val="24"/>
          <w:u w:val="single"/>
        </w:rPr>
        <w:t xml:space="preserve">         </w:t>
      </w:r>
      <w:r>
        <w:rPr>
          <w:sz w:val="24"/>
        </w:rPr>
        <w:t>（姓名）以</w:t>
      </w:r>
      <w:r>
        <w:rPr>
          <w:sz w:val="24"/>
          <w:u w:val="single"/>
        </w:rPr>
        <w:t xml:space="preserve">                        </w:t>
      </w:r>
      <w:r>
        <w:rPr>
          <w:sz w:val="24"/>
        </w:rPr>
        <w:t>（单位名称）法定代表人的资格，郑重承诺：</w:t>
      </w:r>
    </w:p>
    <w:p w14:paraId="65C33F4F">
      <w:pPr>
        <w:ind w:firstLine="480"/>
        <w:jc w:val="left"/>
        <w:rPr>
          <w:kern w:val="0"/>
          <w:sz w:val="24"/>
        </w:rPr>
      </w:pPr>
      <w:r>
        <w:rPr>
          <w:kern w:val="0"/>
          <w:sz w:val="24"/>
        </w:rPr>
        <w:t>1.</w:t>
      </w:r>
      <w:r>
        <w:rPr>
          <w:color w:val="000000" w:themeColor="text1"/>
          <w:sz w:val="24"/>
          <w14:textFill>
            <w14:solidFill>
              <w14:schemeClr w14:val="tx1"/>
            </w14:solidFill>
          </w14:textFill>
        </w:rPr>
        <w:t>我单位不存在谈判文件第二章“供应商须知”第1.4.3项规定的任何一种情形。</w:t>
      </w:r>
    </w:p>
    <w:p w14:paraId="5CA59A64">
      <w:pPr>
        <w:ind w:firstLine="480"/>
        <w:jc w:val="left"/>
        <w:rPr>
          <w:sz w:val="24"/>
        </w:rPr>
      </w:pPr>
      <w:r>
        <w:rPr>
          <w:kern w:val="0"/>
          <w:sz w:val="24"/>
        </w:rPr>
        <w:t>2.我单位未被有关部门限制在采购项目所在地承接项目的；</w:t>
      </w:r>
    </w:p>
    <w:p w14:paraId="72BCE4DE">
      <w:pPr>
        <w:adjustRightInd w:val="0"/>
        <w:snapToGrid w:val="0"/>
        <w:ind w:firstLine="480"/>
        <w:rPr>
          <w:kern w:val="0"/>
          <w:sz w:val="24"/>
        </w:rPr>
      </w:pPr>
      <w:r>
        <w:rPr>
          <w:kern w:val="0"/>
          <w:sz w:val="24"/>
        </w:rPr>
        <w:t>3.我单位未被列为失信被执行人。</w:t>
      </w:r>
    </w:p>
    <w:p w14:paraId="6B908499">
      <w:pPr>
        <w:adjustRightInd w:val="0"/>
        <w:snapToGrid w:val="0"/>
        <w:ind w:firstLine="480"/>
        <w:rPr>
          <w:kern w:val="0"/>
          <w:sz w:val="24"/>
        </w:rPr>
      </w:pPr>
      <w:r>
        <w:rPr>
          <w:kern w:val="0"/>
          <w:sz w:val="24"/>
        </w:rPr>
        <w:t>4.在本项目谈判过程中不存在挂靠、串通投标的情况。</w:t>
      </w:r>
    </w:p>
    <w:p w14:paraId="6210D4CC">
      <w:pPr>
        <w:adjustRightInd w:val="0"/>
        <w:snapToGrid w:val="0"/>
        <w:ind w:firstLine="480"/>
        <w:rPr>
          <w:sz w:val="24"/>
        </w:rPr>
      </w:pPr>
      <w:r>
        <w:rPr>
          <w:rFonts w:hint="eastAsia" w:ascii="宋体" w:hAnsi="宋体"/>
          <w:sz w:val="24"/>
          <w:highlight w:val="none"/>
        </w:rPr>
        <w:t>我单位在本次谈判活动全过程出示的文件资料均是真实、有效的，</w:t>
      </w:r>
      <w:r>
        <w:rPr>
          <w:rFonts w:ascii="宋体" w:hAnsi="宋体"/>
          <w:sz w:val="24"/>
          <w:highlight w:val="none"/>
        </w:rPr>
        <w:t>无弄虚作假、出借、挂靠资质</w:t>
      </w:r>
      <w:r>
        <w:rPr>
          <w:rFonts w:hint="eastAsia" w:ascii="宋体" w:hAnsi="宋体"/>
          <w:sz w:val="24"/>
          <w:highlight w:val="none"/>
        </w:rPr>
        <w:t>和</w:t>
      </w:r>
      <w:r>
        <w:rPr>
          <w:rFonts w:hint="eastAsia" w:ascii="宋体" w:hAnsi="宋体"/>
          <w:sz w:val="24"/>
          <w:highlight w:val="none"/>
          <w:lang w:eastAsia="zh-CN"/>
        </w:rPr>
        <w:t>恶意</w:t>
      </w:r>
      <w:r>
        <w:rPr>
          <w:rFonts w:hint="eastAsia" w:ascii="宋体" w:hAnsi="宋体"/>
          <w:sz w:val="24"/>
          <w:highlight w:val="none"/>
        </w:rPr>
        <w:t>串通</w:t>
      </w:r>
      <w:r>
        <w:rPr>
          <w:rFonts w:ascii="宋体" w:hAnsi="宋体"/>
          <w:sz w:val="24"/>
          <w:highlight w:val="none"/>
        </w:rPr>
        <w:t>等违法、违规行为</w:t>
      </w:r>
      <w:r>
        <w:rPr>
          <w:rFonts w:hint="eastAsia" w:ascii="宋体" w:hAnsi="宋体"/>
          <w:sz w:val="24"/>
          <w:highlight w:val="none"/>
        </w:rPr>
        <w:t>，我单位承诺如有虚假，愿意无条件接受被取消谈判、成交或成交（候选人）资格、</w:t>
      </w:r>
      <w:r>
        <w:rPr>
          <w:rFonts w:hint="eastAsia"/>
          <w:bCs/>
          <w:color w:val="000000" w:themeColor="text1"/>
          <w:sz w:val="24"/>
          <w:lang w:eastAsia="zh-CN"/>
          <w14:textFill>
            <w14:solidFill>
              <w14:schemeClr w14:val="tx1"/>
            </w14:solidFill>
          </w14:textFill>
        </w:rPr>
        <w:t>谈判保证金不予退还、履约保证金不予退还、</w:t>
      </w:r>
      <w:r>
        <w:rPr>
          <w:rFonts w:hint="eastAsia" w:ascii="宋体" w:hAnsi="宋体"/>
          <w:sz w:val="24"/>
          <w:highlight w:val="none"/>
        </w:rPr>
        <w:t>合同无效且按发包人要求清除出场，一切损失由我单位自行承担，同时愿意接受相关处罚。</w:t>
      </w:r>
    </w:p>
    <w:p w14:paraId="2007D6A5">
      <w:pPr>
        <w:adjustRightInd w:val="0"/>
        <w:snapToGrid w:val="0"/>
        <w:ind w:firstLine="480"/>
        <w:rPr>
          <w:bCs/>
          <w:sz w:val="24"/>
        </w:rPr>
      </w:pPr>
      <w:r>
        <w:rPr>
          <w:sz w:val="24"/>
        </w:rPr>
        <w:t>特此承诺！</w:t>
      </w:r>
    </w:p>
    <w:p w14:paraId="66EAFDE9">
      <w:pPr>
        <w:spacing w:line="400" w:lineRule="atLeast"/>
        <w:ind w:firstLine="480"/>
        <w:rPr>
          <w:color w:val="000000" w:themeColor="text1"/>
          <w:sz w:val="24"/>
          <w14:textFill>
            <w14:solidFill>
              <w14:schemeClr w14:val="tx1"/>
            </w14:solidFill>
          </w14:textFill>
        </w:rPr>
      </w:pPr>
    </w:p>
    <w:p w14:paraId="1B931505">
      <w:pPr>
        <w:spacing w:line="400" w:lineRule="atLeast"/>
        <w:ind w:firstLine="4108" w:firstLineChars="1712"/>
        <w:rPr>
          <w:color w:val="000000" w:themeColor="text1"/>
          <w:sz w:val="24"/>
          <w14:textFill>
            <w14:solidFill>
              <w14:schemeClr w14:val="tx1"/>
            </w14:solidFill>
          </w14:textFill>
        </w:rPr>
      </w:pPr>
      <w:r>
        <w:rPr>
          <w:color w:val="000000" w:themeColor="text1"/>
          <w:sz w:val="24"/>
          <w14:textFill>
            <w14:solidFill>
              <w14:schemeClr w14:val="tx1"/>
            </w14:solidFill>
          </w14:textFill>
        </w:rPr>
        <w:t>供应商：（加盖公章）</w:t>
      </w:r>
    </w:p>
    <w:p w14:paraId="1593A14F">
      <w:pPr>
        <w:spacing w:line="400" w:lineRule="atLeast"/>
        <w:ind w:firstLine="4108" w:firstLineChars="1712"/>
        <w:rPr>
          <w:color w:val="000000" w:themeColor="text1"/>
          <w:sz w:val="24"/>
          <w14:textFill>
            <w14:solidFill>
              <w14:schemeClr w14:val="tx1"/>
            </w14:solidFill>
          </w14:textFill>
        </w:rPr>
      </w:pPr>
    </w:p>
    <w:p w14:paraId="4690A79B">
      <w:pPr>
        <w:spacing w:line="400" w:lineRule="atLeast"/>
        <w:ind w:firstLine="4108" w:firstLineChars="1712"/>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法定代表人：（签字或盖章）</w:t>
      </w:r>
    </w:p>
    <w:p w14:paraId="17AB3C32">
      <w:pPr>
        <w:spacing w:line="400" w:lineRule="atLeast"/>
        <w:ind w:firstLine="4108" w:firstLineChars="1712"/>
        <w:rPr>
          <w:color w:val="000000" w:themeColor="text1"/>
          <w:sz w:val="24"/>
          <w14:textFill>
            <w14:solidFill>
              <w14:schemeClr w14:val="tx1"/>
            </w14:solidFill>
          </w14:textFill>
        </w:rPr>
      </w:pPr>
    </w:p>
    <w:p w14:paraId="20272D4D">
      <w:pPr>
        <w:spacing w:line="400" w:lineRule="atLeast"/>
        <w:ind w:firstLine="4108" w:firstLineChars="1712"/>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授权委托人：（签字）</w:t>
      </w:r>
    </w:p>
    <w:p w14:paraId="76A12CB7">
      <w:pPr>
        <w:spacing w:line="400" w:lineRule="atLeast"/>
        <w:ind w:firstLine="4108" w:firstLineChars="1712"/>
        <w:rPr>
          <w:color w:val="000000" w:themeColor="text1"/>
          <w:sz w:val="24"/>
          <w14:textFill>
            <w14:solidFill>
              <w14:schemeClr w14:val="tx1"/>
            </w14:solidFill>
          </w14:textFill>
        </w:rPr>
      </w:pPr>
    </w:p>
    <w:p w14:paraId="43F95322">
      <w:pPr>
        <w:spacing w:line="400" w:lineRule="atLeast"/>
        <w:ind w:firstLine="4108" w:firstLineChars="171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126C5F89">
      <w:pPr>
        <w:pStyle w:val="3"/>
      </w:pPr>
    </w:p>
    <w:p w14:paraId="3E27FB45">
      <w:pPr>
        <w:pStyle w:val="3"/>
      </w:pPr>
    </w:p>
    <w:p w14:paraId="1EA5C4B1">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234"/>
    <w:bookmarkEnd w:id="235"/>
    <w:bookmarkEnd w:id="236"/>
    <w:bookmarkEnd w:id="237"/>
    <w:bookmarkEnd w:id="238"/>
    <w:bookmarkEnd w:id="239"/>
    <w:p w14:paraId="0B90EC4A">
      <w:pPr>
        <w:pStyle w:val="3"/>
      </w:pPr>
      <w:bookmarkStart w:id="241" w:name="_Toc18759"/>
      <w:bookmarkStart w:id="242" w:name="_Toc152042585"/>
      <w:bookmarkStart w:id="243" w:name="_Toc247514288"/>
      <w:bookmarkStart w:id="244" w:name="_Toc443200899"/>
      <w:bookmarkStart w:id="245" w:name="_Toc152045796"/>
      <w:bookmarkStart w:id="246" w:name="_Toc144974864"/>
      <w:bookmarkStart w:id="247" w:name="_Toc247527836"/>
      <w:r>
        <w:t>五、供应商基本情况表</w:t>
      </w:r>
      <w:bookmarkEnd w:id="241"/>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0AE6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8390792">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p>
        </w:tc>
        <w:tc>
          <w:tcPr>
            <w:tcW w:w="7445" w:type="dxa"/>
            <w:gridSpan w:val="7"/>
            <w:vAlign w:val="center"/>
          </w:tcPr>
          <w:p w14:paraId="3DBF0DA9">
            <w:pPr>
              <w:spacing w:line="400" w:lineRule="atLeast"/>
              <w:ind w:firstLine="0" w:firstLineChars="0"/>
              <w:jc w:val="center"/>
              <w:rPr>
                <w:color w:val="000000" w:themeColor="text1"/>
                <w:sz w:val="24"/>
                <w14:textFill>
                  <w14:solidFill>
                    <w14:schemeClr w14:val="tx1"/>
                  </w14:solidFill>
                </w14:textFill>
              </w:rPr>
            </w:pPr>
          </w:p>
        </w:tc>
      </w:tr>
      <w:tr w14:paraId="2B0D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CD675AA">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注册地址</w:t>
            </w:r>
          </w:p>
        </w:tc>
        <w:tc>
          <w:tcPr>
            <w:tcW w:w="3443" w:type="dxa"/>
            <w:gridSpan w:val="4"/>
            <w:vAlign w:val="center"/>
          </w:tcPr>
          <w:p w14:paraId="19629001">
            <w:pP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3BDA65F9">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邮政编码</w:t>
            </w:r>
          </w:p>
        </w:tc>
        <w:tc>
          <w:tcPr>
            <w:tcW w:w="2589" w:type="dxa"/>
            <w:gridSpan w:val="2"/>
            <w:vAlign w:val="center"/>
          </w:tcPr>
          <w:p w14:paraId="01262A9E">
            <w:pPr>
              <w:spacing w:line="400" w:lineRule="atLeast"/>
              <w:ind w:firstLine="0" w:firstLineChars="0"/>
              <w:jc w:val="center"/>
              <w:rPr>
                <w:color w:val="000000" w:themeColor="text1"/>
                <w:sz w:val="24"/>
                <w14:textFill>
                  <w14:solidFill>
                    <w14:schemeClr w14:val="tx1"/>
                  </w14:solidFill>
                </w14:textFill>
              </w:rPr>
            </w:pPr>
          </w:p>
        </w:tc>
      </w:tr>
      <w:tr w14:paraId="5293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7060EF32">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1093" w:type="dxa"/>
            <w:vAlign w:val="center"/>
          </w:tcPr>
          <w:p w14:paraId="23A1B67D">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联系人</w:t>
            </w:r>
          </w:p>
        </w:tc>
        <w:tc>
          <w:tcPr>
            <w:tcW w:w="2350" w:type="dxa"/>
            <w:gridSpan w:val="3"/>
            <w:vAlign w:val="center"/>
          </w:tcPr>
          <w:p w14:paraId="23544DA6">
            <w:pP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2004C680">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2589" w:type="dxa"/>
            <w:gridSpan w:val="2"/>
            <w:vAlign w:val="center"/>
          </w:tcPr>
          <w:p w14:paraId="74F752D8">
            <w:pPr>
              <w:spacing w:line="400" w:lineRule="atLeast"/>
              <w:ind w:firstLine="0" w:firstLineChars="0"/>
              <w:jc w:val="center"/>
              <w:rPr>
                <w:color w:val="000000" w:themeColor="text1"/>
                <w:sz w:val="24"/>
                <w14:textFill>
                  <w14:solidFill>
                    <w14:schemeClr w14:val="tx1"/>
                  </w14:solidFill>
                </w14:textFill>
              </w:rPr>
            </w:pPr>
          </w:p>
        </w:tc>
      </w:tr>
      <w:tr w14:paraId="363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0FF8BC62">
            <w:pPr>
              <w:spacing w:line="400" w:lineRule="atLeast"/>
              <w:ind w:firstLine="0" w:firstLineChars="0"/>
              <w:jc w:val="center"/>
              <w:rPr>
                <w:color w:val="000000" w:themeColor="text1"/>
                <w:sz w:val="24"/>
                <w14:textFill>
                  <w14:solidFill>
                    <w14:schemeClr w14:val="tx1"/>
                  </w14:solidFill>
                </w14:textFill>
              </w:rPr>
            </w:pPr>
          </w:p>
        </w:tc>
        <w:tc>
          <w:tcPr>
            <w:tcW w:w="1093" w:type="dxa"/>
            <w:vAlign w:val="center"/>
          </w:tcPr>
          <w:p w14:paraId="2CE20667">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传真</w:t>
            </w:r>
          </w:p>
        </w:tc>
        <w:tc>
          <w:tcPr>
            <w:tcW w:w="2350" w:type="dxa"/>
            <w:gridSpan w:val="3"/>
            <w:vAlign w:val="center"/>
          </w:tcPr>
          <w:p w14:paraId="1990A4C9">
            <w:pP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4352C30C">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网址</w:t>
            </w:r>
          </w:p>
        </w:tc>
        <w:tc>
          <w:tcPr>
            <w:tcW w:w="2589" w:type="dxa"/>
            <w:gridSpan w:val="2"/>
            <w:vAlign w:val="center"/>
          </w:tcPr>
          <w:p w14:paraId="4B969561">
            <w:pPr>
              <w:spacing w:line="400" w:lineRule="atLeast"/>
              <w:ind w:firstLine="0" w:firstLineChars="0"/>
              <w:jc w:val="center"/>
              <w:rPr>
                <w:color w:val="000000" w:themeColor="text1"/>
                <w:sz w:val="24"/>
                <w14:textFill>
                  <w14:solidFill>
                    <w14:schemeClr w14:val="tx1"/>
                  </w14:solidFill>
                </w14:textFill>
              </w:rPr>
            </w:pPr>
          </w:p>
        </w:tc>
      </w:tr>
      <w:tr w14:paraId="498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876F637">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企业统一社会信用代码</w:t>
            </w:r>
          </w:p>
        </w:tc>
        <w:tc>
          <w:tcPr>
            <w:tcW w:w="7445" w:type="dxa"/>
            <w:gridSpan w:val="7"/>
            <w:vAlign w:val="center"/>
          </w:tcPr>
          <w:p w14:paraId="04D03917">
            <w:pPr>
              <w:spacing w:line="400" w:lineRule="atLeast"/>
              <w:ind w:firstLine="0" w:firstLineChars="0"/>
              <w:jc w:val="center"/>
              <w:rPr>
                <w:color w:val="000000" w:themeColor="text1"/>
                <w:sz w:val="24"/>
                <w14:textFill>
                  <w14:solidFill>
                    <w14:schemeClr w14:val="tx1"/>
                  </w14:solidFill>
                </w14:textFill>
              </w:rPr>
            </w:pPr>
          </w:p>
        </w:tc>
      </w:tr>
      <w:tr w14:paraId="5919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3F29185">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w:t>
            </w:r>
          </w:p>
        </w:tc>
        <w:tc>
          <w:tcPr>
            <w:tcW w:w="1751" w:type="dxa"/>
            <w:gridSpan w:val="2"/>
            <w:vAlign w:val="center"/>
          </w:tcPr>
          <w:p w14:paraId="269CC587">
            <w:pPr>
              <w:spacing w:line="400" w:lineRule="atLeast"/>
              <w:ind w:firstLine="0" w:firstLineChars="0"/>
              <w:jc w:val="center"/>
              <w:rPr>
                <w:color w:val="000000" w:themeColor="text1"/>
                <w:sz w:val="24"/>
                <w14:textFill>
                  <w14:solidFill>
                    <w14:schemeClr w14:val="tx1"/>
                  </w14:solidFill>
                </w14:textFill>
              </w:rPr>
            </w:pPr>
          </w:p>
        </w:tc>
        <w:tc>
          <w:tcPr>
            <w:tcW w:w="1346" w:type="dxa"/>
            <w:vAlign w:val="center"/>
          </w:tcPr>
          <w:p w14:paraId="031D924A">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技术职称</w:t>
            </w:r>
          </w:p>
        </w:tc>
        <w:tc>
          <w:tcPr>
            <w:tcW w:w="1759" w:type="dxa"/>
            <w:gridSpan w:val="2"/>
            <w:vAlign w:val="center"/>
          </w:tcPr>
          <w:p w14:paraId="39F90DFB">
            <w:pPr>
              <w:spacing w:line="400" w:lineRule="atLeast"/>
              <w:ind w:firstLine="0" w:firstLineChars="0"/>
              <w:jc w:val="center"/>
              <w:rPr>
                <w:color w:val="000000" w:themeColor="text1"/>
                <w:sz w:val="24"/>
                <w14:textFill>
                  <w14:solidFill>
                    <w14:schemeClr w14:val="tx1"/>
                  </w14:solidFill>
                </w14:textFill>
              </w:rPr>
            </w:pPr>
          </w:p>
        </w:tc>
        <w:tc>
          <w:tcPr>
            <w:tcW w:w="765" w:type="dxa"/>
            <w:vAlign w:val="center"/>
          </w:tcPr>
          <w:p w14:paraId="381D1928">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1824" w:type="dxa"/>
            <w:vAlign w:val="center"/>
          </w:tcPr>
          <w:p w14:paraId="6BBEBC89">
            <w:pPr>
              <w:spacing w:line="400" w:lineRule="atLeast"/>
              <w:ind w:firstLine="0" w:firstLineChars="0"/>
              <w:jc w:val="center"/>
              <w:rPr>
                <w:color w:val="000000" w:themeColor="text1"/>
                <w:sz w:val="24"/>
                <w14:textFill>
                  <w14:solidFill>
                    <w14:schemeClr w14:val="tx1"/>
                  </w14:solidFill>
                </w14:textFill>
              </w:rPr>
            </w:pPr>
          </w:p>
        </w:tc>
      </w:tr>
      <w:tr w14:paraId="1101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60A9B23">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技术负责人</w:t>
            </w:r>
          </w:p>
        </w:tc>
        <w:tc>
          <w:tcPr>
            <w:tcW w:w="1751" w:type="dxa"/>
            <w:gridSpan w:val="2"/>
            <w:vAlign w:val="center"/>
          </w:tcPr>
          <w:p w14:paraId="72960937">
            <w:pPr>
              <w:spacing w:line="400" w:lineRule="atLeast"/>
              <w:ind w:firstLine="0" w:firstLineChars="0"/>
              <w:jc w:val="center"/>
              <w:rPr>
                <w:color w:val="000000" w:themeColor="text1"/>
                <w:sz w:val="24"/>
                <w14:textFill>
                  <w14:solidFill>
                    <w14:schemeClr w14:val="tx1"/>
                  </w14:solidFill>
                </w14:textFill>
              </w:rPr>
            </w:pPr>
          </w:p>
        </w:tc>
        <w:tc>
          <w:tcPr>
            <w:tcW w:w="1346" w:type="dxa"/>
            <w:vAlign w:val="center"/>
          </w:tcPr>
          <w:p w14:paraId="3F931AAE">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技术职称</w:t>
            </w:r>
          </w:p>
        </w:tc>
        <w:tc>
          <w:tcPr>
            <w:tcW w:w="1759" w:type="dxa"/>
            <w:gridSpan w:val="2"/>
            <w:vAlign w:val="center"/>
          </w:tcPr>
          <w:p w14:paraId="70B72612">
            <w:pPr>
              <w:spacing w:line="400" w:lineRule="atLeast"/>
              <w:ind w:firstLine="0" w:firstLineChars="0"/>
              <w:jc w:val="center"/>
              <w:rPr>
                <w:color w:val="000000" w:themeColor="text1"/>
                <w:sz w:val="24"/>
                <w14:textFill>
                  <w14:solidFill>
                    <w14:schemeClr w14:val="tx1"/>
                  </w14:solidFill>
                </w14:textFill>
              </w:rPr>
            </w:pPr>
          </w:p>
        </w:tc>
        <w:tc>
          <w:tcPr>
            <w:tcW w:w="765" w:type="dxa"/>
            <w:vAlign w:val="center"/>
          </w:tcPr>
          <w:p w14:paraId="3C086202">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1824" w:type="dxa"/>
            <w:vAlign w:val="center"/>
          </w:tcPr>
          <w:p w14:paraId="0AB014CC">
            <w:pPr>
              <w:spacing w:line="400" w:lineRule="atLeast"/>
              <w:ind w:firstLine="0" w:firstLineChars="0"/>
              <w:jc w:val="center"/>
              <w:rPr>
                <w:color w:val="000000" w:themeColor="text1"/>
                <w:sz w:val="24"/>
                <w14:textFill>
                  <w14:solidFill>
                    <w14:schemeClr w14:val="tx1"/>
                  </w14:solidFill>
                </w14:textFill>
              </w:rPr>
            </w:pPr>
          </w:p>
        </w:tc>
      </w:tr>
      <w:tr w14:paraId="2DCD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8D3ADB6">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w:t>
            </w:r>
          </w:p>
        </w:tc>
        <w:tc>
          <w:tcPr>
            <w:tcW w:w="1751" w:type="dxa"/>
            <w:gridSpan w:val="2"/>
            <w:vAlign w:val="center"/>
          </w:tcPr>
          <w:p w14:paraId="3D8E4B52">
            <w:pPr>
              <w:spacing w:line="400" w:lineRule="atLeast"/>
              <w:ind w:firstLine="0" w:firstLineChars="0"/>
              <w:jc w:val="center"/>
              <w:rPr>
                <w:color w:val="000000" w:themeColor="text1"/>
                <w:sz w:val="24"/>
                <w14:textFill>
                  <w14:solidFill>
                    <w14:schemeClr w14:val="tx1"/>
                  </w14:solidFill>
                </w14:textFill>
              </w:rPr>
            </w:pPr>
          </w:p>
        </w:tc>
        <w:tc>
          <w:tcPr>
            <w:tcW w:w="3105" w:type="dxa"/>
            <w:gridSpan w:val="3"/>
            <w:vAlign w:val="center"/>
          </w:tcPr>
          <w:p w14:paraId="053498A2">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员工总人数</w:t>
            </w:r>
          </w:p>
        </w:tc>
        <w:tc>
          <w:tcPr>
            <w:tcW w:w="2589" w:type="dxa"/>
            <w:gridSpan w:val="2"/>
            <w:vAlign w:val="center"/>
          </w:tcPr>
          <w:p w14:paraId="454C407F">
            <w:pPr>
              <w:spacing w:line="400" w:lineRule="atLeast"/>
              <w:ind w:firstLine="0" w:firstLineChars="0"/>
              <w:rPr>
                <w:color w:val="000000" w:themeColor="text1"/>
                <w:sz w:val="24"/>
                <w14:textFill>
                  <w14:solidFill>
                    <w14:schemeClr w14:val="tx1"/>
                  </w14:solidFill>
                </w14:textFill>
              </w:rPr>
            </w:pPr>
          </w:p>
        </w:tc>
      </w:tr>
      <w:tr w14:paraId="6267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400F857">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企业资质等级</w:t>
            </w:r>
          </w:p>
        </w:tc>
        <w:tc>
          <w:tcPr>
            <w:tcW w:w="1751" w:type="dxa"/>
            <w:gridSpan w:val="2"/>
            <w:vAlign w:val="center"/>
          </w:tcPr>
          <w:p w14:paraId="6990F687">
            <w:pPr>
              <w:spacing w:line="400" w:lineRule="atLeast"/>
              <w:ind w:firstLine="0" w:firstLineChars="0"/>
              <w:jc w:val="center"/>
              <w:rPr>
                <w:color w:val="000000" w:themeColor="text1"/>
                <w:sz w:val="24"/>
                <w14:textFill>
                  <w14:solidFill>
                    <w14:schemeClr w14:val="tx1"/>
                  </w14:solidFill>
                </w14:textFill>
              </w:rPr>
            </w:pPr>
          </w:p>
        </w:tc>
        <w:tc>
          <w:tcPr>
            <w:tcW w:w="1346" w:type="dxa"/>
            <w:vMerge w:val="restart"/>
            <w:vAlign w:val="center"/>
          </w:tcPr>
          <w:p w14:paraId="0800F6CF">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其中</w:t>
            </w:r>
          </w:p>
        </w:tc>
        <w:tc>
          <w:tcPr>
            <w:tcW w:w="1759" w:type="dxa"/>
            <w:gridSpan w:val="2"/>
            <w:vAlign w:val="center"/>
          </w:tcPr>
          <w:p w14:paraId="73BC471D">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高级职称人员</w:t>
            </w:r>
          </w:p>
        </w:tc>
        <w:tc>
          <w:tcPr>
            <w:tcW w:w="2589" w:type="dxa"/>
            <w:gridSpan w:val="2"/>
            <w:vAlign w:val="center"/>
          </w:tcPr>
          <w:p w14:paraId="1C0427F7">
            <w:pPr>
              <w:spacing w:line="400" w:lineRule="atLeast"/>
              <w:ind w:firstLine="0" w:firstLineChars="0"/>
              <w:jc w:val="center"/>
              <w:rPr>
                <w:color w:val="000000" w:themeColor="text1"/>
                <w:sz w:val="24"/>
                <w14:textFill>
                  <w14:solidFill>
                    <w14:schemeClr w14:val="tx1"/>
                  </w14:solidFill>
                </w14:textFill>
              </w:rPr>
            </w:pPr>
          </w:p>
        </w:tc>
      </w:tr>
      <w:tr w14:paraId="71F0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66BF9E7">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营业执照号</w:t>
            </w:r>
          </w:p>
        </w:tc>
        <w:tc>
          <w:tcPr>
            <w:tcW w:w="1751" w:type="dxa"/>
            <w:gridSpan w:val="2"/>
            <w:vAlign w:val="center"/>
          </w:tcPr>
          <w:p w14:paraId="65E5D1EF">
            <w:pP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1A2A38B3">
            <w:pP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0642881E">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中级职称人员</w:t>
            </w:r>
          </w:p>
        </w:tc>
        <w:tc>
          <w:tcPr>
            <w:tcW w:w="2589" w:type="dxa"/>
            <w:gridSpan w:val="2"/>
            <w:vAlign w:val="center"/>
          </w:tcPr>
          <w:p w14:paraId="117B46D9">
            <w:pPr>
              <w:spacing w:line="400" w:lineRule="atLeast"/>
              <w:ind w:firstLine="0" w:firstLineChars="0"/>
              <w:jc w:val="center"/>
              <w:rPr>
                <w:color w:val="000000" w:themeColor="text1"/>
                <w:sz w:val="24"/>
                <w14:textFill>
                  <w14:solidFill>
                    <w14:schemeClr w14:val="tx1"/>
                  </w14:solidFill>
                </w14:textFill>
              </w:rPr>
            </w:pPr>
          </w:p>
        </w:tc>
      </w:tr>
      <w:tr w14:paraId="0284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27858BB">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注册资金</w:t>
            </w:r>
          </w:p>
        </w:tc>
        <w:tc>
          <w:tcPr>
            <w:tcW w:w="1751" w:type="dxa"/>
            <w:gridSpan w:val="2"/>
            <w:vAlign w:val="center"/>
          </w:tcPr>
          <w:p w14:paraId="193BF0D0">
            <w:pP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440D0869">
            <w:pP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5B4BFF37">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初级职称人员</w:t>
            </w:r>
          </w:p>
        </w:tc>
        <w:tc>
          <w:tcPr>
            <w:tcW w:w="2589" w:type="dxa"/>
            <w:gridSpan w:val="2"/>
            <w:vAlign w:val="center"/>
          </w:tcPr>
          <w:p w14:paraId="19F331F7">
            <w:pPr>
              <w:spacing w:line="400" w:lineRule="atLeast"/>
              <w:ind w:firstLine="0" w:firstLineChars="0"/>
              <w:jc w:val="center"/>
              <w:rPr>
                <w:color w:val="000000" w:themeColor="text1"/>
                <w:sz w:val="24"/>
                <w14:textFill>
                  <w14:solidFill>
                    <w14:schemeClr w14:val="tx1"/>
                  </w14:solidFill>
                </w14:textFill>
              </w:rPr>
            </w:pPr>
          </w:p>
        </w:tc>
      </w:tr>
      <w:tr w14:paraId="05E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CDC4ACC">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p>
        </w:tc>
        <w:tc>
          <w:tcPr>
            <w:tcW w:w="1751" w:type="dxa"/>
            <w:gridSpan w:val="2"/>
            <w:vAlign w:val="center"/>
          </w:tcPr>
          <w:p w14:paraId="2775F2F1">
            <w:pP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44713AB1">
            <w:pP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03A116F5">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技工</w:t>
            </w:r>
          </w:p>
        </w:tc>
        <w:tc>
          <w:tcPr>
            <w:tcW w:w="2589" w:type="dxa"/>
            <w:gridSpan w:val="2"/>
            <w:vAlign w:val="center"/>
          </w:tcPr>
          <w:p w14:paraId="4DAB83E9">
            <w:pPr>
              <w:spacing w:line="400" w:lineRule="atLeast"/>
              <w:ind w:firstLine="0" w:firstLineChars="0"/>
              <w:jc w:val="center"/>
              <w:rPr>
                <w:color w:val="000000" w:themeColor="text1"/>
                <w:sz w:val="24"/>
                <w14:textFill>
                  <w14:solidFill>
                    <w14:schemeClr w14:val="tx1"/>
                  </w14:solidFill>
                </w14:textFill>
              </w:rPr>
            </w:pPr>
          </w:p>
        </w:tc>
      </w:tr>
      <w:tr w14:paraId="152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34E8D58">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账号</w:t>
            </w:r>
          </w:p>
        </w:tc>
        <w:tc>
          <w:tcPr>
            <w:tcW w:w="1751" w:type="dxa"/>
            <w:gridSpan w:val="2"/>
            <w:vAlign w:val="center"/>
          </w:tcPr>
          <w:p w14:paraId="0EA16803">
            <w:pP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1A242EC5">
            <w:pP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5DAC13D9">
            <w:pPr>
              <w:spacing w:line="400" w:lineRule="atLeast"/>
              <w:ind w:firstLine="0" w:firstLineChars="0"/>
              <w:jc w:val="center"/>
              <w:rPr>
                <w:color w:val="000000" w:themeColor="text1"/>
                <w:sz w:val="24"/>
                <w14:textFill>
                  <w14:solidFill>
                    <w14:schemeClr w14:val="tx1"/>
                  </w14:solidFill>
                </w14:textFill>
              </w:rPr>
            </w:pPr>
          </w:p>
        </w:tc>
        <w:tc>
          <w:tcPr>
            <w:tcW w:w="2589" w:type="dxa"/>
            <w:gridSpan w:val="2"/>
            <w:vAlign w:val="center"/>
          </w:tcPr>
          <w:p w14:paraId="284D359D">
            <w:pPr>
              <w:spacing w:line="400" w:lineRule="atLeast"/>
              <w:ind w:firstLine="0" w:firstLineChars="0"/>
              <w:jc w:val="center"/>
              <w:rPr>
                <w:color w:val="000000" w:themeColor="text1"/>
                <w:sz w:val="24"/>
                <w14:textFill>
                  <w14:solidFill>
                    <w14:schemeClr w14:val="tx1"/>
                  </w14:solidFill>
                </w14:textFill>
              </w:rPr>
            </w:pPr>
          </w:p>
        </w:tc>
      </w:tr>
      <w:tr w14:paraId="40DE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311908A5">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经营范围</w:t>
            </w:r>
          </w:p>
        </w:tc>
        <w:tc>
          <w:tcPr>
            <w:tcW w:w="7445" w:type="dxa"/>
            <w:gridSpan w:val="7"/>
            <w:vAlign w:val="center"/>
          </w:tcPr>
          <w:p w14:paraId="42CD97AA">
            <w:pPr>
              <w:spacing w:line="400" w:lineRule="atLeast"/>
              <w:ind w:firstLine="0" w:firstLineChars="0"/>
              <w:jc w:val="center"/>
              <w:rPr>
                <w:color w:val="000000" w:themeColor="text1"/>
                <w:sz w:val="24"/>
                <w14:textFill>
                  <w14:solidFill>
                    <w14:schemeClr w14:val="tx1"/>
                  </w14:solidFill>
                </w14:textFill>
              </w:rPr>
            </w:pPr>
          </w:p>
        </w:tc>
      </w:tr>
      <w:tr w14:paraId="0F4D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3D5E1730">
            <w:pP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c>
          <w:tcPr>
            <w:tcW w:w="7445" w:type="dxa"/>
            <w:gridSpan w:val="7"/>
            <w:vAlign w:val="center"/>
          </w:tcPr>
          <w:p w14:paraId="704C5EA8">
            <w:pPr>
              <w:spacing w:line="400" w:lineRule="atLeast"/>
              <w:ind w:firstLine="0" w:firstLineChars="0"/>
              <w:jc w:val="center"/>
              <w:rPr>
                <w:color w:val="000000" w:themeColor="text1"/>
                <w:sz w:val="24"/>
                <w14:textFill>
                  <w14:solidFill>
                    <w14:schemeClr w14:val="tx1"/>
                  </w14:solidFill>
                </w14:textFill>
              </w:rPr>
            </w:pPr>
          </w:p>
        </w:tc>
      </w:tr>
    </w:tbl>
    <w:p w14:paraId="5597053F">
      <w:pPr>
        <w:pStyle w:val="16"/>
        <w:spacing w:before="120" w:after="120" w:line="400" w:lineRule="atLeast"/>
        <w:ind w:firstLine="420"/>
        <w:jc w:val="both"/>
        <w:rPr>
          <w:color w:val="000000" w:themeColor="text1"/>
          <w14:textFill>
            <w14:solidFill>
              <w14:schemeClr w14:val="tx1"/>
            </w14:solidFill>
          </w14:textFill>
        </w:rPr>
      </w:pPr>
      <w:r>
        <w:rPr>
          <w:color w:val="000000" w:themeColor="text1"/>
          <w14:textFill>
            <w14:solidFill>
              <w14:schemeClr w14:val="tx1"/>
            </w14:solidFill>
          </w14:textFill>
        </w:rPr>
        <w:t>注：后附企业营业执照</w:t>
      </w:r>
      <w:r>
        <w:rPr>
          <w:rFonts w:hint="eastAsia"/>
          <w:color w:val="000000" w:themeColor="text1"/>
          <w:lang w:val="en-US" w:eastAsia="zh-CN"/>
          <w14:textFill>
            <w14:solidFill>
              <w14:schemeClr w14:val="tx1"/>
            </w14:solidFill>
          </w14:textFill>
        </w:rPr>
        <w:t>等</w:t>
      </w:r>
      <w:r>
        <w:rPr>
          <w:color w:val="000000" w:themeColor="text1"/>
          <w14:textFill>
            <w14:solidFill>
              <w14:schemeClr w14:val="tx1"/>
            </w14:solidFill>
          </w14:textFill>
        </w:rPr>
        <w:t>。</w:t>
      </w:r>
    </w:p>
    <w:p w14:paraId="56E3E0CF">
      <w:pPr>
        <w:pStyle w:val="16"/>
        <w:spacing w:before="120" w:after="120" w:line="400" w:lineRule="atLeast"/>
        <w:ind w:firstLine="420"/>
        <w:jc w:val="both"/>
        <w:rPr>
          <w:color w:val="000000" w:themeColor="text1"/>
          <w14:textFill>
            <w14:solidFill>
              <w14:schemeClr w14:val="tx1"/>
            </w14:solidFill>
          </w14:textFill>
        </w:rPr>
      </w:pPr>
    </w:p>
    <w:p w14:paraId="318EAE58">
      <w:pPr>
        <w:pStyle w:val="16"/>
        <w:spacing w:before="120" w:after="120" w:line="400" w:lineRule="atLeast"/>
        <w:ind w:firstLine="420"/>
        <w:jc w:val="both"/>
        <w:rPr>
          <w:color w:val="000000" w:themeColor="text1"/>
          <w14:textFill>
            <w14:solidFill>
              <w14:schemeClr w14:val="tx1"/>
            </w14:solidFill>
          </w14:textFill>
        </w:rPr>
      </w:pPr>
    </w:p>
    <w:p w14:paraId="7F99A237">
      <w:pPr>
        <w:pStyle w:val="16"/>
        <w:spacing w:before="120" w:after="120" w:line="400" w:lineRule="atLeast"/>
        <w:ind w:firstLine="420"/>
        <w:jc w:val="both"/>
        <w:rPr>
          <w:color w:val="000000" w:themeColor="text1"/>
          <w14:textFill>
            <w14:solidFill>
              <w14:schemeClr w14:val="tx1"/>
            </w14:solidFill>
          </w14:textFill>
        </w:rPr>
      </w:pPr>
    </w:p>
    <w:p w14:paraId="5D7EEF37">
      <w:pPr>
        <w:pStyle w:val="16"/>
        <w:spacing w:before="120" w:after="120" w:line="400" w:lineRule="atLeast"/>
        <w:ind w:firstLine="0" w:firstLineChars="0"/>
        <w:jc w:val="center"/>
        <w:rPr>
          <w:color w:val="000000" w:themeColor="text1"/>
          <w:sz w:val="36"/>
          <w:szCs w:val="44"/>
          <w14:textFill>
            <w14:solidFill>
              <w14:schemeClr w14:val="tx1"/>
            </w14:solidFill>
          </w14:textFill>
        </w:rPr>
      </w:pPr>
      <w:r>
        <w:rPr>
          <w:color w:val="000000" w:themeColor="text1"/>
          <w:sz w:val="36"/>
          <w:szCs w:val="44"/>
          <w14:textFill>
            <w14:solidFill>
              <w14:schemeClr w14:val="tx1"/>
            </w14:solidFill>
          </w14:textFill>
        </w:rPr>
        <w:t>营业执照</w:t>
      </w:r>
    </w:p>
    <w:p w14:paraId="0FD7B46B">
      <w:pPr>
        <w:pStyle w:val="16"/>
        <w:spacing w:before="120" w:after="120" w:line="400" w:lineRule="atLeast"/>
        <w:ind w:firstLine="420"/>
        <w:jc w:val="both"/>
        <w:rPr>
          <w:color w:val="000000" w:themeColor="text1"/>
          <w14:textFill>
            <w14:solidFill>
              <w14:schemeClr w14:val="tx1"/>
            </w14:solidFill>
          </w14:textFill>
        </w:rPr>
      </w:pPr>
    </w:p>
    <w:p w14:paraId="402B3D8E">
      <w:pPr>
        <w:pStyle w:val="16"/>
        <w:spacing w:before="120" w:after="120" w:line="400" w:lineRule="atLeast"/>
        <w:ind w:firstLine="420"/>
        <w:jc w:val="both"/>
        <w:rPr>
          <w:color w:val="000000" w:themeColor="text1"/>
          <w14:textFill>
            <w14:solidFill>
              <w14:schemeClr w14:val="tx1"/>
            </w14:solidFill>
          </w14:textFill>
        </w:rPr>
      </w:pPr>
    </w:p>
    <w:p w14:paraId="48D7F16B">
      <w:pPr>
        <w:pStyle w:val="16"/>
        <w:spacing w:before="120" w:after="120" w:line="400" w:lineRule="atLeast"/>
        <w:ind w:firstLine="420"/>
        <w:jc w:val="both"/>
        <w:rPr>
          <w:color w:val="000000" w:themeColor="text1"/>
          <w14:textFill>
            <w14:solidFill>
              <w14:schemeClr w14:val="tx1"/>
            </w14:solidFill>
          </w14:textFill>
        </w:rPr>
      </w:pPr>
    </w:p>
    <w:p w14:paraId="40164AE0">
      <w:pPr>
        <w:pStyle w:val="16"/>
        <w:spacing w:before="120" w:after="120" w:line="400" w:lineRule="atLeast"/>
        <w:ind w:firstLine="420"/>
        <w:jc w:val="both"/>
        <w:rPr>
          <w:color w:val="000000" w:themeColor="text1"/>
          <w14:textFill>
            <w14:solidFill>
              <w14:schemeClr w14:val="tx1"/>
            </w14:solidFill>
          </w14:textFill>
        </w:rPr>
      </w:pPr>
    </w:p>
    <w:p w14:paraId="55A3572A">
      <w:pPr>
        <w:pStyle w:val="16"/>
        <w:spacing w:before="120" w:after="120" w:line="400" w:lineRule="atLeast"/>
        <w:ind w:firstLine="420"/>
        <w:jc w:val="both"/>
        <w:rPr>
          <w:color w:val="000000" w:themeColor="text1"/>
          <w14:textFill>
            <w14:solidFill>
              <w14:schemeClr w14:val="tx1"/>
            </w14:solidFill>
          </w14:textFill>
        </w:rPr>
      </w:pPr>
    </w:p>
    <w:p w14:paraId="22849534">
      <w:pPr>
        <w:pStyle w:val="16"/>
        <w:spacing w:before="120" w:after="120" w:line="400" w:lineRule="atLeast"/>
        <w:ind w:firstLine="420"/>
        <w:jc w:val="both"/>
        <w:rPr>
          <w:color w:val="000000" w:themeColor="text1"/>
          <w14:textFill>
            <w14:solidFill>
              <w14:schemeClr w14:val="tx1"/>
            </w14:solidFill>
          </w14:textFill>
        </w:rPr>
      </w:pPr>
    </w:p>
    <w:p w14:paraId="25BEE387">
      <w:pPr>
        <w:pStyle w:val="16"/>
        <w:spacing w:before="120" w:after="120" w:line="400" w:lineRule="atLeast"/>
        <w:ind w:firstLine="420"/>
        <w:jc w:val="both"/>
        <w:rPr>
          <w:color w:val="000000" w:themeColor="text1"/>
          <w14:textFill>
            <w14:solidFill>
              <w14:schemeClr w14:val="tx1"/>
            </w14:solidFill>
          </w14:textFill>
        </w:rPr>
      </w:pPr>
    </w:p>
    <w:p w14:paraId="34A180D9">
      <w:pPr>
        <w:pStyle w:val="16"/>
        <w:spacing w:before="120" w:after="120" w:line="400" w:lineRule="atLeast"/>
        <w:ind w:firstLine="420"/>
        <w:jc w:val="both"/>
        <w:rPr>
          <w:color w:val="000000" w:themeColor="text1"/>
          <w14:textFill>
            <w14:solidFill>
              <w14:schemeClr w14:val="tx1"/>
            </w14:solidFill>
          </w14:textFill>
        </w:rPr>
      </w:pPr>
    </w:p>
    <w:p w14:paraId="78EB4567">
      <w:pPr>
        <w:pStyle w:val="16"/>
        <w:spacing w:before="120" w:after="120" w:line="400" w:lineRule="atLeast"/>
        <w:ind w:firstLine="420"/>
        <w:jc w:val="both"/>
        <w:rPr>
          <w:color w:val="000000" w:themeColor="text1"/>
          <w14:textFill>
            <w14:solidFill>
              <w14:schemeClr w14:val="tx1"/>
            </w14:solidFill>
          </w14:textFill>
        </w:rPr>
      </w:pPr>
    </w:p>
    <w:p w14:paraId="72883D6C">
      <w:pPr>
        <w:pStyle w:val="16"/>
        <w:spacing w:before="120" w:after="120" w:line="400" w:lineRule="atLeast"/>
        <w:ind w:firstLine="420"/>
        <w:jc w:val="both"/>
        <w:rPr>
          <w:color w:val="000000" w:themeColor="text1"/>
          <w14:textFill>
            <w14:solidFill>
              <w14:schemeClr w14:val="tx1"/>
            </w14:solidFill>
          </w14:textFill>
        </w:rPr>
      </w:pPr>
    </w:p>
    <w:p w14:paraId="211AC4EB">
      <w:pPr>
        <w:pStyle w:val="16"/>
        <w:spacing w:before="120" w:after="120" w:line="400" w:lineRule="atLeast"/>
        <w:ind w:firstLine="420"/>
        <w:jc w:val="both"/>
        <w:rPr>
          <w:color w:val="000000" w:themeColor="text1"/>
          <w14:textFill>
            <w14:solidFill>
              <w14:schemeClr w14:val="tx1"/>
            </w14:solidFill>
          </w14:textFill>
        </w:rPr>
      </w:pPr>
    </w:p>
    <w:p w14:paraId="03BBACC5">
      <w:pPr>
        <w:pStyle w:val="16"/>
        <w:spacing w:before="120" w:after="120" w:line="400" w:lineRule="atLeast"/>
        <w:ind w:firstLine="420"/>
        <w:jc w:val="both"/>
        <w:rPr>
          <w:color w:val="000000" w:themeColor="text1"/>
          <w14:textFill>
            <w14:solidFill>
              <w14:schemeClr w14:val="tx1"/>
            </w14:solidFill>
          </w14:textFill>
        </w:rPr>
      </w:pPr>
    </w:p>
    <w:p w14:paraId="4FC3740C">
      <w:pPr>
        <w:pStyle w:val="16"/>
        <w:spacing w:before="120" w:after="120" w:line="400" w:lineRule="atLeast"/>
        <w:ind w:firstLine="420"/>
        <w:jc w:val="both"/>
        <w:rPr>
          <w:color w:val="000000" w:themeColor="text1"/>
          <w14:textFill>
            <w14:solidFill>
              <w14:schemeClr w14:val="tx1"/>
            </w14:solidFill>
          </w14:textFill>
        </w:rPr>
      </w:pPr>
    </w:p>
    <w:p w14:paraId="367E8AE7">
      <w:pPr>
        <w:pStyle w:val="4"/>
        <w:spacing w:line="400" w:lineRule="atLeast"/>
        <w:ind w:firstLine="0" w:firstLineChars="0"/>
        <w:jc w:val="center"/>
        <w:rPr>
          <w:rFonts w:eastAsia="黑体"/>
          <w:b w:val="0"/>
          <w:bCs/>
          <w:color w:val="000000" w:themeColor="text1"/>
          <w:szCs w:val="32"/>
          <w14:textFill>
            <w14:solidFill>
              <w14:schemeClr w14:val="tx1"/>
            </w14:solidFill>
          </w14:textFill>
        </w:rPr>
        <w:sectPr>
          <w:headerReference r:id="rId14" w:type="default"/>
          <w:footerReference r:id="rId15" w:type="default"/>
          <w:pgSz w:w="11905" w:h="16838"/>
          <w:pgMar w:top="1440" w:right="1803" w:bottom="1440" w:left="1803" w:header="850" w:footer="850" w:gutter="0"/>
          <w:cols w:space="0" w:num="1"/>
          <w:docGrid w:linePitch="312" w:charSpace="0"/>
        </w:sectPr>
      </w:pPr>
      <w:r>
        <w:rPr>
          <w:color w:val="000000" w:themeColor="text1"/>
          <w14:textFill>
            <w14:solidFill>
              <w14:schemeClr w14:val="tx1"/>
            </w14:solidFill>
          </w14:textFill>
        </w:rPr>
        <w:br w:type="page"/>
      </w:r>
    </w:p>
    <w:bookmarkEnd w:id="242"/>
    <w:bookmarkEnd w:id="243"/>
    <w:bookmarkEnd w:id="244"/>
    <w:bookmarkEnd w:id="245"/>
    <w:bookmarkEnd w:id="246"/>
    <w:bookmarkEnd w:id="247"/>
    <w:p w14:paraId="6A35CF34">
      <w:pPr>
        <w:pStyle w:val="3"/>
        <w:rPr>
          <w:rFonts w:hint="eastAsia"/>
        </w:rPr>
        <w:sectPr>
          <w:footerReference r:id="rId16" w:type="default"/>
          <w:pgSz w:w="11905" w:h="16838"/>
          <w:pgMar w:top="1440" w:right="1803" w:bottom="1440" w:left="1803" w:header="850" w:footer="850" w:gutter="0"/>
          <w:cols w:space="0" w:num="1"/>
          <w:docGrid w:linePitch="312" w:charSpace="0"/>
        </w:sectPr>
      </w:pPr>
      <w:bookmarkStart w:id="248" w:name="_Toc29993"/>
      <w:r>
        <w:rPr>
          <w:rFonts w:hint="eastAsia"/>
        </w:rPr>
        <w:t>六</w:t>
      </w:r>
      <w:r>
        <w:t>、</w:t>
      </w:r>
      <w:r>
        <w:rPr>
          <w:rFonts w:hint="eastAsia"/>
        </w:rPr>
        <w:t>保证金缴纳</w:t>
      </w:r>
      <w:r>
        <w:t>回执</w:t>
      </w:r>
    </w:p>
    <w:p w14:paraId="163BD5A3">
      <w:pPr>
        <w:pStyle w:val="3"/>
        <w:rPr>
          <w:rFonts w:hint="eastAsia"/>
        </w:rPr>
      </w:pPr>
      <w:r>
        <w:rPr>
          <w:rFonts w:hint="eastAsia"/>
          <w:lang w:val="en-US" w:eastAsia="zh-CN"/>
        </w:rPr>
        <w:t>七</w:t>
      </w:r>
      <w:r>
        <w:t>、</w:t>
      </w:r>
      <w:r>
        <w:rPr>
          <w:rFonts w:hint="eastAsia"/>
        </w:rPr>
        <w:t>已标价的货物清单</w:t>
      </w:r>
    </w:p>
    <w:p w14:paraId="77982ED0">
      <w:pPr>
        <w:spacing w:line="240" w:lineRule="auto"/>
        <w:ind w:firstLine="0" w:firstLineChars="0"/>
        <w:rPr>
          <w:rFonts w:hint="eastAsia" w:ascii="宋体" w:hAnsi="宋体" w:cs="宋体"/>
          <w:b/>
          <w:bCs/>
          <w:sz w:val="28"/>
          <w:szCs w:val="36"/>
        </w:rPr>
      </w:pPr>
      <w:r>
        <w:rPr>
          <w:rFonts w:hint="eastAsia" w:ascii="宋体" w:hAnsi="宋体" w:cs="宋体"/>
          <w:b/>
          <w:bCs/>
          <w:sz w:val="28"/>
          <w:szCs w:val="36"/>
        </w:rPr>
        <w:t>1.</w:t>
      </w:r>
      <w:r>
        <w:rPr>
          <w:rFonts w:hint="eastAsia" w:ascii="宋体" w:hAnsi="宋体" w:cs="宋体"/>
          <w:b/>
          <w:bCs/>
          <w:sz w:val="28"/>
          <w:szCs w:val="36"/>
          <w:lang w:val="en-US" w:eastAsia="zh-CN"/>
        </w:rPr>
        <w:t>清单明细表</w:t>
      </w:r>
      <w:r>
        <w:rPr>
          <w:rFonts w:hint="eastAsia" w:ascii="宋体" w:hAnsi="宋体" w:cs="宋体"/>
          <w:b/>
          <w:bCs/>
          <w:sz w:val="28"/>
          <w:szCs w:val="36"/>
        </w:rPr>
        <w:t>：</w:t>
      </w:r>
    </w:p>
    <w:p w14:paraId="7E13699C">
      <w:pPr>
        <w:spacing w:line="240" w:lineRule="auto"/>
        <w:ind w:firstLine="0" w:firstLineChars="0"/>
        <w:rPr>
          <w:rFonts w:hint="eastAsia" w:ascii="宋体" w:hAnsi="宋体" w:cs="宋体"/>
          <w:b/>
          <w:bCs/>
          <w:sz w:val="28"/>
          <w:szCs w:val="36"/>
        </w:rPr>
      </w:pPr>
    </w:p>
    <w:tbl>
      <w:tblPr>
        <w:tblStyle w:val="48"/>
        <w:tblW w:w="8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668"/>
        <w:gridCol w:w="2540"/>
        <w:gridCol w:w="645"/>
        <w:gridCol w:w="900"/>
        <w:gridCol w:w="1110"/>
        <w:gridCol w:w="1105"/>
        <w:gridCol w:w="709"/>
      </w:tblGrid>
      <w:tr w14:paraId="42A4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EF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0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09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1F2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8F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CD5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39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C2C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267C">
            <w:pPr>
              <w:jc w:val="center"/>
              <w:rPr>
                <w:rFonts w:hint="eastAsia" w:ascii="宋体" w:hAnsi="宋体" w:eastAsia="宋体" w:cs="宋体"/>
                <w:i w:val="0"/>
                <w:iCs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F5BB">
            <w:pPr>
              <w:jc w:val="center"/>
              <w:rPr>
                <w:rFonts w:hint="eastAsia" w:ascii="宋体" w:hAnsi="宋体" w:eastAsia="宋体" w:cs="宋体"/>
                <w:i w:val="0"/>
                <w:iCs w:val="0"/>
                <w:color w:val="000000"/>
                <w:sz w:val="20"/>
                <w:szCs w:val="20"/>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0900">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70C2">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70B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B9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37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综合合价</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CF6">
            <w:pPr>
              <w:jc w:val="center"/>
              <w:rPr>
                <w:rFonts w:hint="eastAsia" w:ascii="宋体" w:hAnsi="宋体" w:eastAsia="宋体" w:cs="宋体"/>
                <w:i w:val="0"/>
                <w:iCs w:val="0"/>
                <w:color w:val="000000"/>
                <w:sz w:val="20"/>
                <w:szCs w:val="20"/>
                <w:u w:val="none"/>
              </w:rPr>
            </w:pPr>
          </w:p>
        </w:tc>
      </w:tr>
      <w:tr w14:paraId="1EAB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E3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1F8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77E3">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1.名称：电缆</w:t>
            </w:r>
          </w:p>
          <w:p w14:paraId="7E91C34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2.规格:YJV-8.7/15-1*240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E5E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B6E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110</w:t>
            </w: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D3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2A02">
            <w:pPr>
              <w:jc w:val="center"/>
              <w:rPr>
                <w:rFonts w:hint="eastAsia" w:ascii="宋体" w:hAnsi="宋体" w:eastAsia="宋体" w:cs="宋体"/>
                <w:i w:val="0"/>
                <w:iCs w:val="0"/>
                <w:color w:val="000000"/>
                <w:sz w:val="20"/>
                <w:szCs w:val="20"/>
                <w:u w:val="none"/>
              </w:rPr>
            </w:pPr>
          </w:p>
        </w:tc>
      </w:tr>
      <w:tr w14:paraId="12FA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65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06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合计（元）：（含13%增值税）</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555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5476">
            <w:pPr>
              <w:jc w:val="center"/>
              <w:rPr>
                <w:rFonts w:hint="eastAsia" w:ascii="宋体" w:hAnsi="宋体" w:eastAsia="宋体" w:cs="宋体"/>
                <w:b/>
                <w:bCs/>
                <w:i w:val="0"/>
                <w:iCs w:val="0"/>
                <w:color w:val="000000"/>
                <w:sz w:val="20"/>
                <w:szCs w:val="20"/>
                <w:u w:val="none"/>
              </w:rPr>
            </w:pPr>
          </w:p>
        </w:tc>
      </w:tr>
    </w:tbl>
    <w:p w14:paraId="7A2A59C9">
      <w:pPr>
        <w:spacing w:line="360" w:lineRule="auto"/>
        <w:ind w:firstLine="0" w:firstLineChars="0"/>
        <w:rPr>
          <w:b/>
          <w:bCs/>
          <w:sz w:val="18"/>
          <w:szCs w:val="18"/>
        </w:rPr>
      </w:pPr>
    </w:p>
    <w:p w14:paraId="2F5F0E57">
      <w:pPr>
        <w:spacing w:before="120" w:beforeLines="50" w:line="360" w:lineRule="auto"/>
        <w:ind w:firstLine="0" w:firstLineChars="0"/>
        <w:rPr>
          <w:b/>
          <w:bCs/>
          <w:szCs w:val="21"/>
        </w:rPr>
      </w:pPr>
      <w:r>
        <w:rPr>
          <w:b/>
          <w:bCs/>
          <w:szCs w:val="21"/>
        </w:rPr>
        <w:t>注：</w:t>
      </w:r>
    </w:p>
    <w:p w14:paraId="423D8604">
      <w:pPr>
        <w:spacing w:line="360" w:lineRule="auto"/>
        <w:ind w:firstLine="420" w:firstLineChars="200"/>
        <w:rPr>
          <w:rFonts w:ascii="宋体" w:hAnsi="宋体" w:cs="宋体"/>
          <w:szCs w:val="21"/>
        </w:rPr>
      </w:pPr>
      <w:r>
        <w:rPr>
          <w:rFonts w:ascii="宋体" w:hAnsi="宋体" w:cs="宋体"/>
          <w:szCs w:val="21"/>
        </w:rPr>
        <w:t>1.提供产品必须全部符合现行国家标准及相应的产品质量标准要求。</w:t>
      </w:r>
    </w:p>
    <w:p w14:paraId="3BFB212E">
      <w:pPr>
        <w:spacing w:line="360" w:lineRule="auto"/>
        <w:ind w:firstLine="420"/>
        <w:rPr>
          <w:rFonts w:ascii="宋体" w:hAnsi="宋体" w:cs="宋体"/>
          <w:szCs w:val="21"/>
        </w:rPr>
      </w:pPr>
      <w:r>
        <w:rPr>
          <w:rFonts w:ascii="宋体" w:hAnsi="宋体" w:cs="宋体"/>
          <w:szCs w:val="21"/>
        </w:rPr>
        <w:t>2.价格内容与构成：本合同单价为在交货地点交货价，包含但不限于设计费、人工费、工具费、机械费、辅材费、间接费、材料费、各类材料周转费、制作好的材料上车费、包装固定费、运输到甲方施工现场费、运输过程中保险费、乙方管理费、安全费、技术措施费、保管费、加班费、保险费、规费、财务费、风险费、利润、增值税税金等在内的所有费用，且包括甲方验收合格之前任何情况下所发生的人员伤亡和财产损失。即除此之外，甲方无需在本合同项下支付任何其他费用。</w:t>
      </w:r>
    </w:p>
    <w:p w14:paraId="5BE2A467">
      <w:pPr>
        <w:spacing w:line="360" w:lineRule="auto"/>
        <w:ind w:left="0" w:leftChars="0"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合同工程量仅作为暂定量，在不改变合同其他条款的前提下，甲方有权根据现场施工需要对工程量进行调整，乙方应根据甲方要求工程量进行供货。对于报价清单没有的个别项目或由于不可抗力情况影响无法按期实施项目，项目负责人会同招标采购部向所有入围单位或潜在单位询价，对于满足现场需求的且经议价后的供应商，可以直接纳入其供货合同范围。</w:t>
      </w:r>
    </w:p>
    <w:p w14:paraId="66F267D1">
      <w:pPr>
        <w:spacing w:line="360" w:lineRule="auto"/>
        <w:ind w:left="0" w:leftChars="0" w:firstLine="420" w:firstLineChars="200"/>
        <w:rPr>
          <w:rFonts w:hint="eastAsia" w:ascii="宋体" w:hAnsi="宋体" w:cs="宋体"/>
          <w:szCs w:val="21"/>
        </w:rPr>
      </w:pPr>
      <w:r>
        <w:rPr>
          <w:rFonts w:hint="eastAsia" w:ascii="宋体" w:hAnsi="宋体" w:cs="宋体"/>
          <w:szCs w:val="21"/>
        </w:rPr>
        <w:t>4.因乙方原因导致的电缆重复送检，重复送检产生的费用由乙方承担。</w:t>
      </w:r>
    </w:p>
    <w:p w14:paraId="2C6AE8A0">
      <w:pPr>
        <w:spacing w:line="360" w:lineRule="auto"/>
        <w:ind w:firstLine="630" w:firstLineChars="300"/>
        <w:rPr>
          <w:rFonts w:hint="eastAsia" w:ascii="宋体" w:hAnsi="宋体" w:cs="宋体"/>
          <w:szCs w:val="21"/>
        </w:rPr>
      </w:pPr>
    </w:p>
    <w:p w14:paraId="0BA5F903">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电缆单价计算方式：</w:t>
      </w:r>
    </w:p>
    <w:p w14:paraId="2C2D9CC6">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（1）各参数约定如下：</w:t>
      </w:r>
    </w:p>
    <w:p w14:paraId="36D338BA">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u w:val="none"/>
          <w:lang w:val="en-US" w:eastAsia="zh-CN"/>
        </w:rPr>
      </w:pPr>
      <w:r>
        <w:rPr>
          <w:rFonts w:hint="default" w:ascii="Times New Roman" w:hAnsi="Times New Roman" w:cs="Times New Roman"/>
          <w:b/>
          <w:bCs/>
          <w:color w:val="auto"/>
          <w:szCs w:val="21"/>
          <w:highlight w:val="none"/>
          <w:u w:val="none"/>
          <w:lang w:val="en-US" w:eastAsia="zh-CN"/>
        </w:rPr>
        <w:t>本合同签订的电缆综合单价为基准价—A</w:t>
      </w:r>
    </w:p>
    <w:p w14:paraId="7637830E">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u w:val="none"/>
          <w:lang w:val="en-US" w:eastAsia="zh-CN"/>
        </w:rPr>
      </w:pPr>
      <w:r>
        <w:rPr>
          <w:rFonts w:hint="eastAsia" w:ascii="Times New Roman" w:hAnsi="Times New Roman" w:cs="Times New Roman"/>
          <w:b/>
          <w:bCs/>
          <w:color w:val="auto"/>
          <w:szCs w:val="21"/>
          <w:highlight w:val="none"/>
          <w:u w:val="none"/>
          <w:lang w:val="en-US" w:eastAsia="zh-CN"/>
        </w:rPr>
        <w:t>谈判</w:t>
      </w:r>
      <w:r>
        <w:rPr>
          <w:rFonts w:hint="default" w:ascii="Times New Roman" w:hAnsi="Times New Roman" w:cs="Times New Roman"/>
          <w:b/>
          <w:bCs/>
          <w:color w:val="auto"/>
          <w:szCs w:val="21"/>
          <w:highlight w:val="none"/>
          <w:u w:val="none"/>
          <w:lang w:val="en-US" w:eastAsia="zh-CN"/>
        </w:rPr>
        <w:t>日</w:t>
      </w:r>
      <w:r>
        <w:rPr>
          <w:rFonts w:hint="default" w:ascii="Times New Roman" w:hAnsi="Times New Roman" w:cs="Times New Roman"/>
          <w:b/>
          <w:bCs/>
          <w:color w:val="auto"/>
          <w:szCs w:val="21"/>
          <w:highlight w:val="none"/>
          <w:u w:val="none"/>
        </w:rPr>
        <w:t>SMM 1#电解铜的价格</w:t>
      </w:r>
      <w:r>
        <w:rPr>
          <w:rFonts w:hint="default" w:ascii="Times New Roman" w:hAnsi="Times New Roman" w:cs="Times New Roman"/>
          <w:b/>
          <w:bCs/>
          <w:color w:val="auto"/>
          <w:szCs w:val="21"/>
          <w:highlight w:val="none"/>
          <w:u w:val="none"/>
          <w:lang w:val="en-US" w:eastAsia="zh-CN"/>
        </w:rPr>
        <w:t>—B</w:t>
      </w:r>
    </w:p>
    <w:p w14:paraId="57DAB4E4">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2" w:firstLineChars="20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采购订单下单当日</w:t>
      </w:r>
      <w:r>
        <w:rPr>
          <w:rFonts w:hint="default" w:ascii="Times New Roman" w:hAnsi="Times New Roman" w:cs="Times New Roman"/>
          <w:b/>
          <w:bCs/>
          <w:color w:val="auto"/>
          <w:szCs w:val="21"/>
          <w:highlight w:val="none"/>
        </w:rPr>
        <w:t>SMM 1#电解铜的价格</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C</w:t>
      </w:r>
    </w:p>
    <w:p w14:paraId="2F13D9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采购订单下单的电缆单价—D</w:t>
      </w:r>
    </w:p>
    <w:p w14:paraId="0F71AEF0">
      <w:pPr>
        <w:pStyle w:val="47"/>
        <w:keepNext w:val="0"/>
        <w:keepLines w:val="0"/>
        <w:pageBreakBefore w:val="0"/>
        <w:widowControl w:val="0"/>
        <w:numPr>
          <w:ilvl w:val="0"/>
          <w:numId w:val="0"/>
        </w:numPr>
        <w:kinsoku/>
        <w:wordWrap/>
        <w:overflowPunct/>
        <w:topLinePunct w:val="0"/>
        <w:autoSpaceDE/>
        <w:autoSpaceDN/>
        <w:bidi w:val="0"/>
        <w:adjustRightInd/>
        <w:snapToGrid/>
        <w:spacing w:before="0"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（2）采购订单单价计算方式：</w:t>
      </w:r>
    </w:p>
    <w:p w14:paraId="089C6AD2">
      <w:pPr>
        <w:pStyle w:val="47"/>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Cs w:val="21"/>
          <w:highlight w:val="none"/>
          <w:lang w:val="en-US" w:eastAsia="zh-CN"/>
        </w:rPr>
        <w:t>①</w:t>
      </w:r>
      <w:r>
        <w:rPr>
          <w:rFonts w:hint="eastAsia" w:ascii="宋体" w:hAnsi="宋体" w:cs="宋体"/>
          <w:color w:val="auto"/>
          <w:szCs w:val="21"/>
          <w:highlight w:val="none"/>
        </w:rPr>
        <w:t>价格浮动1000元/吨为一档，</w:t>
      </w:r>
      <w:r>
        <w:rPr>
          <w:rFonts w:hint="eastAsia" w:ascii="宋体" w:hAnsi="宋体" w:cs="宋体"/>
          <w:color w:val="auto"/>
          <w:szCs w:val="21"/>
          <w:highlight w:val="none"/>
          <w:lang w:val="en-US" w:eastAsia="zh-CN"/>
        </w:rPr>
        <w:t>下单当日</w:t>
      </w:r>
      <w:r>
        <w:rPr>
          <w:rFonts w:hint="eastAsia" w:ascii="宋体" w:hAnsi="宋体" w:cs="宋体"/>
          <w:color w:val="auto"/>
          <w:szCs w:val="21"/>
          <w:highlight w:val="none"/>
        </w:rPr>
        <w:t>SMM 1#电解铜的价格</w:t>
      </w:r>
      <w:r>
        <w:rPr>
          <w:rFonts w:hint="eastAsia" w:ascii="宋体" w:hAnsi="宋体" w:cs="宋体"/>
          <w:b/>
          <w:bCs/>
          <w:color w:val="auto"/>
          <w:szCs w:val="21"/>
          <w:highlight w:val="none"/>
          <w:lang w:val="en-US" w:eastAsia="zh-CN"/>
        </w:rPr>
        <w:t>小于</w:t>
      </w:r>
      <w:r>
        <w:rPr>
          <w:rFonts w:hint="eastAsia" w:ascii="宋体" w:hAnsi="宋体" w:cs="宋体"/>
          <w:color w:val="auto"/>
          <w:szCs w:val="21"/>
          <w:highlight w:val="none"/>
          <w:lang w:val="en-US" w:eastAsia="zh-CN"/>
        </w:rPr>
        <w:t>80000元/吨时，</w:t>
      </w:r>
      <w:r>
        <w:rPr>
          <w:rFonts w:hint="eastAsia" w:ascii="宋体" w:hAnsi="宋体" w:cs="宋体"/>
          <w:color w:val="auto"/>
          <w:szCs w:val="21"/>
          <w:highlight w:val="none"/>
        </w:rPr>
        <w:t>价格浮动按</w:t>
      </w:r>
      <w:r>
        <w:rPr>
          <w:rFonts w:hint="eastAsia" w:ascii="宋体" w:hAnsi="宋体" w:cs="宋体"/>
          <w:b/>
          <w:bCs/>
          <w:color w:val="auto"/>
          <w:szCs w:val="21"/>
          <w:highlight w:val="none"/>
        </w:rPr>
        <w:t>1.7%/1000元</w:t>
      </w:r>
      <w:r>
        <w:rPr>
          <w:rFonts w:hint="eastAsia" w:ascii="宋体" w:hAnsi="宋体" w:cs="宋体"/>
          <w:color w:val="auto"/>
          <w:szCs w:val="21"/>
          <w:highlight w:val="none"/>
        </w:rPr>
        <w:t>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订单单价</w:t>
      </w:r>
      <w:r>
        <w:rPr>
          <w:rFonts w:hint="default" w:ascii="Times New Roman" w:hAnsi="Times New Roman" w:cs="Times New Roman"/>
          <w:b/>
          <w:bCs/>
          <w:color w:val="auto"/>
          <w:szCs w:val="21"/>
          <w:highlight w:val="none"/>
        </w:rPr>
        <w:t>D=A+A*(C-B)/1000*0.017</w:t>
      </w:r>
      <w:r>
        <w:rPr>
          <w:rFonts w:hint="eastAsia" w:ascii="宋体" w:hAnsi="宋体" w:cs="宋体"/>
          <w:color w:val="auto"/>
          <w:szCs w:val="21"/>
          <w:highlight w:val="none"/>
          <w:lang w:eastAsia="zh-CN"/>
        </w:rPr>
        <w:t>；</w:t>
      </w:r>
    </w:p>
    <w:p w14:paraId="2305CDFC">
      <w:pPr>
        <w:pStyle w:val="47"/>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cs="宋体"/>
          <w:color w:val="auto"/>
          <w:szCs w:val="21"/>
          <w:highlight w:val="none"/>
          <w:lang w:eastAsia="zh-CN"/>
        </w:rPr>
      </w:pPr>
      <w:r>
        <w:rPr>
          <w:rFonts w:hint="default" w:ascii="Times New Roman" w:hAnsi="Times New Roman" w:cs="Times New Roman"/>
          <w:color w:val="auto"/>
          <w:szCs w:val="21"/>
          <w:highlight w:val="none"/>
          <w:lang w:val="en-US" w:eastAsia="zh-CN"/>
        </w:rPr>
        <w:t>②</w:t>
      </w:r>
      <w:r>
        <w:rPr>
          <w:rFonts w:hint="eastAsia" w:ascii="宋体" w:hAnsi="宋体" w:cs="宋体"/>
          <w:color w:val="auto"/>
          <w:szCs w:val="21"/>
          <w:highlight w:val="none"/>
        </w:rPr>
        <w:t>价格浮动1000元/吨为一档，</w:t>
      </w:r>
      <w:r>
        <w:rPr>
          <w:rFonts w:hint="eastAsia" w:ascii="宋体" w:hAnsi="宋体" w:cs="宋体"/>
          <w:color w:val="auto"/>
          <w:szCs w:val="21"/>
          <w:highlight w:val="none"/>
          <w:lang w:val="en-US" w:eastAsia="zh-CN"/>
        </w:rPr>
        <w:t>下单当日S</w:t>
      </w:r>
      <w:r>
        <w:rPr>
          <w:rFonts w:hint="eastAsia" w:ascii="宋体" w:hAnsi="宋体" w:cs="宋体"/>
          <w:color w:val="auto"/>
          <w:szCs w:val="21"/>
          <w:highlight w:val="none"/>
        </w:rPr>
        <w:t>MM 1#电解铜的价格</w:t>
      </w:r>
      <w:r>
        <w:rPr>
          <w:rFonts w:hint="eastAsia" w:ascii="宋体" w:hAnsi="宋体" w:cs="宋体"/>
          <w:b/>
          <w:bCs/>
          <w:color w:val="auto"/>
          <w:szCs w:val="21"/>
          <w:highlight w:val="none"/>
          <w:lang w:val="en-US" w:eastAsia="zh-CN"/>
        </w:rPr>
        <w:t>大于</w:t>
      </w:r>
      <w:r>
        <w:rPr>
          <w:rFonts w:hint="eastAsia" w:ascii="宋体" w:hAnsi="宋体" w:cs="宋体"/>
          <w:color w:val="auto"/>
          <w:szCs w:val="21"/>
          <w:highlight w:val="none"/>
          <w:lang w:val="en-US" w:eastAsia="zh-CN"/>
        </w:rPr>
        <w:t>80000元/吨时，</w:t>
      </w:r>
      <w:r>
        <w:rPr>
          <w:rFonts w:hint="eastAsia" w:ascii="宋体" w:hAnsi="宋体" w:cs="宋体"/>
          <w:color w:val="auto"/>
          <w:szCs w:val="21"/>
          <w:highlight w:val="none"/>
        </w:rPr>
        <w:t>价格浮动按</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%/1000</w:t>
      </w:r>
      <w:r>
        <w:rPr>
          <w:rFonts w:hint="eastAsia" w:ascii="宋体" w:hAnsi="宋体" w:cs="宋体"/>
          <w:color w:val="auto"/>
          <w:szCs w:val="21"/>
          <w:highlight w:val="none"/>
        </w:rPr>
        <w:t>元计算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订单单价</w:t>
      </w:r>
      <w:r>
        <w:rPr>
          <w:rFonts w:hint="default" w:ascii="Times New Roman" w:hAnsi="Times New Roman" w:cs="Times New Roman"/>
          <w:b/>
          <w:bCs/>
          <w:color w:val="auto"/>
          <w:szCs w:val="21"/>
          <w:highlight w:val="none"/>
        </w:rPr>
        <w:t>D=A+A*(C-B)/1000*0.01</w:t>
      </w:r>
      <w:r>
        <w:rPr>
          <w:rFonts w:hint="eastAsia" w:ascii="Times New Roman" w:hAnsi="Times New Roman" w:cs="Times New Roman"/>
          <w:b/>
          <w:bCs/>
          <w:color w:val="auto"/>
          <w:szCs w:val="21"/>
          <w:highlight w:val="none"/>
          <w:lang w:val="en-US" w:eastAsia="zh-CN"/>
        </w:rPr>
        <w:t>2</w:t>
      </w:r>
      <w:r>
        <w:rPr>
          <w:rFonts w:hint="eastAsia" w:ascii="宋体" w:hAnsi="宋体" w:cs="宋体"/>
          <w:color w:val="auto"/>
          <w:szCs w:val="21"/>
          <w:highlight w:val="none"/>
          <w:lang w:eastAsia="zh-CN"/>
        </w:rPr>
        <w:t>。</w:t>
      </w:r>
    </w:p>
    <w:p w14:paraId="50558AAD">
      <w:pPr>
        <w:pStyle w:val="47"/>
        <w:keepNext w:val="0"/>
        <w:keepLines w:val="0"/>
        <w:pageBreakBefore w:val="0"/>
        <w:widowControl w:val="0"/>
        <w:kinsoku/>
        <w:wordWrap/>
        <w:overflowPunct/>
        <w:topLinePunct w:val="0"/>
        <w:autoSpaceDE/>
        <w:autoSpaceDN/>
        <w:bidi w:val="0"/>
        <w:adjustRightInd/>
        <w:snapToGrid/>
        <w:spacing w:before="0"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w:t>
      </w:r>
      <w:r>
        <w:rPr>
          <w:rFonts w:hint="default" w:ascii="Times New Roman" w:hAnsi="Times New Roman" w:cs="Times New Roman"/>
          <w:color w:val="auto"/>
          <w:szCs w:val="21"/>
          <w:highlight w:val="none"/>
          <w:lang w:val="en-US" w:eastAsia="zh-CN"/>
        </w:rPr>
        <w:t>①</w:t>
      </w:r>
      <w:r>
        <w:rPr>
          <w:rFonts w:hint="eastAsia" w:ascii="宋体" w:hAnsi="宋体" w:cs="宋体"/>
          <w:color w:val="auto"/>
          <w:szCs w:val="21"/>
          <w:highlight w:val="none"/>
        </w:rPr>
        <w:t>SMM 1#电解铜的价格</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海有色网（https://www.smm.cn/）</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SMM 1#电解铜的价格</w:t>
      </w:r>
      <w:r>
        <w:rPr>
          <w:rFonts w:hint="eastAsia" w:ascii="宋体" w:hAnsi="宋体" w:cs="宋体"/>
          <w:color w:val="auto"/>
          <w:szCs w:val="21"/>
          <w:highlight w:val="none"/>
          <w:lang w:val="en-US" w:eastAsia="zh-CN"/>
        </w:rPr>
        <w:t>为准。</w:t>
      </w:r>
      <w:r>
        <w:rPr>
          <w:rFonts w:hint="eastAsia" w:ascii="宋体" w:hAnsi="宋体" w:cs="宋体"/>
          <w:color w:val="auto"/>
          <w:szCs w:val="21"/>
          <w:highlight w:val="none"/>
        </w:rPr>
        <w:t>SMM 1#电解铜当日平均价(设为C)</w:t>
      </w:r>
      <w:r>
        <w:rPr>
          <w:rFonts w:hint="eastAsia" w:ascii="宋体" w:hAnsi="宋体" w:cs="宋体"/>
          <w:color w:val="auto"/>
          <w:szCs w:val="21"/>
          <w:highlight w:val="none"/>
          <w:lang w:val="en-US" w:eastAsia="zh-CN"/>
        </w:rPr>
        <w:t>较基准价B波动</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±1000元/吨时，电缆单价不予调整，其差价由乙方承担或受益。</w:t>
      </w:r>
      <w:r>
        <w:rPr>
          <w:rFonts w:hint="eastAsia" w:ascii="宋体" w:hAnsi="宋体" w:cs="宋体"/>
          <w:szCs w:val="21"/>
          <w:highlight w:val="none"/>
        </w:rPr>
        <w:t>其中，（C-B)/1000取整</w:t>
      </w:r>
      <w:r>
        <w:rPr>
          <w:rFonts w:hint="eastAsia" w:ascii="宋体" w:hAnsi="宋体" w:cs="宋体"/>
          <w:szCs w:val="21"/>
          <w:highlight w:val="none"/>
          <w:lang w:eastAsia="zh-CN"/>
        </w:rPr>
        <w:t>（</w:t>
      </w:r>
      <w:r>
        <w:rPr>
          <w:rFonts w:hint="eastAsia" w:ascii="宋体" w:hAnsi="宋体" w:cs="宋体"/>
          <w:szCs w:val="21"/>
          <w:highlight w:val="none"/>
          <w:lang w:val="en-US" w:eastAsia="zh-CN"/>
        </w:rPr>
        <w:t>四舍五入</w:t>
      </w:r>
      <w:r>
        <w:rPr>
          <w:rFonts w:hint="eastAsia" w:ascii="宋体" w:hAnsi="宋体" w:cs="宋体"/>
          <w:szCs w:val="21"/>
          <w:highlight w:val="none"/>
          <w:lang w:eastAsia="zh-CN"/>
        </w:rPr>
        <w:t>）</w:t>
      </w:r>
      <w:r>
        <w:rPr>
          <w:rFonts w:hint="eastAsia" w:ascii="宋体" w:hAnsi="宋体" w:cs="宋体"/>
          <w:color w:val="auto"/>
          <w:szCs w:val="21"/>
          <w:highlight w:val="none"/>
          <w:lang w:val="en-US" w:eastAsia="zh-CN"/>
        </w:rPr>
        <w:t>。当（C-B）为负值时，按相同原则执行调价条款。</w:t>
      </w:r>
    </w:p>
    <w:p w14:paraId="52A7DB68">
      <w:pPr>
        <w:spacing w:line="360" w:lineRule="auto"/>
        <w:ind w:firstLine="420" w:firstLineChars="200"/>
      </w:pPr>
      <w:r>
        <w:rPr>
          <w:rFonts w:hint="eastAsia" w:ascii="Times New Roman" w:hAnsi="Times New Roman" w:cs="Times New Roman"/>
          <w:color w:val="auto"/>
          <w:szCs w:val="21"/>
          <w:highlight w:val="none"/>
          <w:u w:val="none"/>
          <w:lang w:val="en-US" w:eastAsia="zh-CN"/>
        </w:rPr>
        <w:t>注：</w:t>
      </w:r>
      <w:r>
        <w:rPr>
          <w:rFonts w:hint="default" w:ascii="Times New Roman" w:hAnsi="Times New Roman" w:cs="Times New Roman"/>
          <w:color w:val="auto"/>
          <w:szCs w:val="21"/>
          <w:highlight w:val="none"/>
          <w:u w:val="none"/>
          <w:lang w:val="en-US" w:eastAsia="zh-CN"/>
        </w:rPr>
        <w:t>②</w:t>
      </w:r>
      <w:r>
        <w:rPr>
          <w:rFonts w:hint="eastAsia" w:ascii="宋体" w:hAnsi="宋体" w:cs="宋体"/>
          <w:b/>
          <w:bCs/>
          <w:color w:val="auto"/>
          <w:szCs w:val="21"/>
          <w:highlight w:val="none"/>
          <w:u w:val="none"/>
        </w:rPr>
        <w:t>SMM 1#电解铜的价格</w:t>
      </w:r>
      <w:r>
        <w:rPr>
          <w:rFonts w:hint="eastAsia" w:ascii="宋体" w:hAnsi="宋体" w:cs="宋体"/>
          <w:b/>
          <w:bCs/>
          <w:color w:val="auto"/>
          <w:szCs w:val="21"/>
          <w:highlight w:val="none"/>
          <w:u w:val="none"/>
          <w:lang w:val="en-US" w:eastAsia="zh-CN"/>
        </w:rPr>
        <w:t>B</w:t>
      </w:r>
      <w:r>
        <w:rPr>
          <w:rFonts w:hint="eastAsia" w:ascii="宋体" w:hAnsi="宋体" w:cs="宋体"/>
          <w:color w:val="auto"/>
          <w:szCs w:val="21"/>
          <w:highlight w:val="none"/>
          <w:u w:val="none"/>
          <w:lang w:val="en-US" w:eastAsia="zh-CN"/>
        </w:rPr>
        <w:t>在本合同中约定为2025年9月10日</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海有色网SMM 1#电解铜的价格</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79745元/吨</w:t>
      </w:r>
      <w:r>
        <w:rPr>
          <w:rFonts w:hint="eastAsia" w:ascii="宋体" w:hAnsi="宋体" w:cs="宋体"/>
          <w:color w:val="auto"/>
          <w:szCs w:val="21"/>
          <w:highlight w:val="none"/>
          <w:lang w:val="en-US" w:eastAsia="zh-CN"/>
        </w:rPr>
        <w:t>。</w:t>
      </w:r>
    </w:p>
    <w:p w14:paraId="06B57146">
      <w:pPr>
        <w:snapToGrid w:val="0"/>
        <w:spacing w:line="480" w:lineRule="auto"/>
        <w:ind w:firstLine="440"/>
        <w:rPr>
          <w:rFonts w:hint="eastAsia" w:ascii="宋体" w:hAnsi="宋体" w:cs="宋体"/>
          <w:bCs/>
          <w:sz w:val="22"/>
          <w:szCs w:val="22"/>
        </w:rPr>
      </w:pPr>
    </w:p>
    <w:p w14:paraId="59EB14AA">
      <w:pPr>
        <w:snapToGrid w:val="0"/>
        <w:spacing w:line="480" w:lineRule="auto"/>
        <w:ind w:left="0" w:leftChars="0" w:firstLine="0" w:firstLineChars="0"/>
        <w:rPr>
          <w:rFonts w:hint="eastAsia" w:ascii="宋体" w:hAnsi="宋体" w:cs="宋体"/>
          <w:bCs/>
          <w:sz w:val="22"/>
          <w:szCs w:val="22"/>
        </w:rPr>
      </w:pPr>
    </w:p>
    <w:p w14:paraId="13E870FD">
      <w:pPr>
        <w:snapToGrid w:val="0"/>
        <w:spacing w:line="480" w:lineRule="auto"/>
        <w:ind w:firstLine="440"/>
        <w:rPr>
          <w:rFonts w:hint="eastAsia" w:ascii="宋体" w:hAnsi="宋体" w:cs="宋体"/>
          <w:bCs/>
          <w:sz w:val="22"/>
          <w:szCs w:val="22"/>
        </w:rPr>
      </w:pPr>
      <w:r>
        <w:rPr>
          <w:rFonts w:hint="eastAsia" w:ascii="宋体" w:hAnsi="宋体" w:cs="宋体"/>
          <w:bCs/>
          <w:sz w:val="22"/>
          <w:szCs w:val="22"/>
        </w:rPr>
        <w:t>供应商（盖章）：</w:t>
      </w:r>
      <w:r>
        <w:rPr>
          <w:rFonts w:hint="eastAsia" w:ascii="宋体" w:hAnsi="宋体" w:cs="宋体"/>
          <w:bCs/>
          <w:sz w:val="22"/>
          <w:szCs w:val="22"/>
        </w:rPr>
        <w:fldChar w:fldCharType="begin"/>
      </w:r>
      <w:r>
        <w:rPr>
          <w:rFonts w:hint="eastAsia" w:ascii="宋体" w:hAnsi="宋体" w:cs="宋体"/>
          <w:bCs/>
          <w:sz w:val="22"/>
          <w:szCs w:val="22"/>
        </w:rPr>
        <w:instrText xml:space="preserve"> AUTOTEXT  " 空白"  \* MERGEFORMAT </w:instrText>
      </w:r>
      <w:r>
        <w:rPr>
          <w:rFonts w:hint="eastAsia" w:ascii="宋体" w:hAnsi="宋体" w:cs="宋体"/>
          <w:bCs/>
          <w:sz w:val="22"/>
          <w:szCs w:val="22"/>
        </w:rPr>
        <w:fldChar w:fldCharType="separate"/>
      </w:r>
      <w:r>
        <w:rPr>
          <w:rFonts w:hint="eastAsia" w:ascii="宋体" w:hAnsi="宋体" w:cs="宋体"/>
          <w:bCs/>
          <w:sz w:val="22"/>
          <w:szCs w:val="22"/>
        </w:rPr>
        <w:fldChar w:fldCharType="end"/>
      </w:r>
    </w:p>
    <w:p w14:paraId="551652BC">
      <w:pPr>
        <w:snapToGrid w:val="0"/>
        <w:spacing w:line="480" w:lineRule="auto"/>
        <w:ind w:firstLine="440"/>
        <w:rPr>
          <w:rFonts w:hint="eastAsia" w:ascii="宋体" w:hAnsi="宋体" w:cs="宋体"/>
          <w:bCs/>
          <w:sz w:val="22"/>
          <w:szCs w:val="22"/>
        </w:rPr>
      </w:pPr>
      <w:r>
        <w:rPr>
          <w:rFonts w:hint="eastAsia" w:ascii="宋体" w:hAnsi="宋体" w:cs="宋体"/>
          <w:bCs/>
          <w:sz w:val="22"/>
          <w:szCs w:val="22"/>
        </w:rPr>
        <w:t>法定代表人或委托代理人（签字或盖章）：</w:t>
      </w:r>
    </w:p>
    <w:p w14:paraId="7869A4BF">
      <w:pPr>
        <w:pStyle w:val="47"/>
        <w:ind w:firstLine="440"/>
        <w:rPr>
          <w:rFonts w:hint="default" w:ascii="宋体" w:hAnsi="宋体"/>
          <w:bCs/>
          <w:sz w:val="22"/>
          <w:szCs w:val="22"/>
          <w:lang w:val="en-US" w:eastAsia="zh-CN"/>
        </w:rPr>
      </w:pPr>
      <w:r>
        <w:rPr>
          <w:rFonts w:hint="eastAsia" w:ascii="宋体" w:hAnsi="宋体" w:cs="宋体"/>
          <w:bCs/>
          <w:sz w:val="22"/>
          <w:szCs w:val="22"/>
        </w:rPr>
        <w:t>日期：</w:t>
      </w:r>
      <w:r>
        <w:rPr>
          <w:rFonts w:hint="eastAsia" w:ascii="宋体" w:hAnsi="宋体" w:cs="宋体"/>
          <w:bCs/>
          <w:sz w:val="22"/>
          <w:szCs w:val="22"/>
          <w:u w:val="single"/>
        </w:rPr>
        <w:fldChar w:fldCharType="begin"/>
      </w:r>
      <w:r>
        <w:rPr>
          <w:rFonts w:hint="eastAsia" w:ascii="宋体" w:hAnsi="宋体" w:cs="宋体"/>
          <w:bCs/>
          <w:sz w:val="22"/>
          <w:szCs w:val="22"/>
          <w:u w:val="single"/>
        </w:rPr>
        <w:instrText xml:space="preserve"> AUTOTEXT  " 空白"  \* MERGEFORMAT </w:instrText>
      </w:r>
      <w:r>
        <w:rPr>
          <w:rFonts w:hint="eastAsia" w:ascii="宋体" w:hAnsi="宋体" w:cs="宋体"/>
          <w:bCs/>
          <w:sz w:val="22"/>
          <w:szCs w:val="22"/>
          <w:u w:val="single"/>
        </w:rPr>
        <w:fldChar w:fldCharType="separate"/>
      </w:r>
      <w:r>
        <w:rPr>
          <w:rFonts w:hint="eastAsia" w:ascii="宋体" w:hAnsi="宋体" w:cs="宋体"/>
          <w:bCs/>
          <w:sz w:val="22"/>
          <w:szCs w:val="22"/>
          <w:u w:val="single"/>
        </w:rPr>
        <w:fldChar w:fldCharType="end"/>
      </w:r>
      <w:r>
        <w:rPr>
          <w:rFonts w:hint="eastAsia" w:ascii="宋体" w:hAnsi="宋体" w:cs="宋体"/>
          <w:bCs/>
          <w:sz w:val="22"/>
          <w:szCs w:val="22"/>
          <w:u w:val="single"/>
        </w:rPr>
        <w:t xml:space="preserve">      </w:t>
      </w:r>
      <w:r>
        <w:rPr>
          <w:rFonts w:hint="eastAsia" w:ascii="宋体" w:hAnsi="宋体" w:cs="宋体"/>
          <w:bCs/>
          <w:sz w:val="22"/>
          <w:szCs w:val="22"/>
        </w:rPr>
        <w:t>年</w:t>
      </w:r>
      <w:r>
        <w:rPr>
          <w:rFonts w:hint="eastAsia" w:ascii="宋体" w:hAnsi="宋体" w:cs="宋体"/>
          <w:bCs/>
          <w:sz w:val="22"/>
          <w:szCs w:val="22"/>
          <w:u w:val="single"/>
        </w:rPr>
        <w:fldChar w:fldCharType="begin"/>
      </w:r>
      <w:r>
        <w:rPr>
          <w:rFonts w:hint="eastAsia" w:ascii="宋体" w:hAnsi="宋体" w:cs="宋体"/>
          <w:bCs/>
          <w:sz w:val="22"/>
          <w:szCs w:val="22"/>
          <w:u w:val="single"/>
        </w:rPr>
        <w:instrText xml:space="preserve"> AUTOTEXT  " 空白"  \* MERGEFORMAT </w:instrText>
      </w:r>
      <w:r>
        <w:rPr>
          <w:rFonts w:hint="eastAsia" w:ascii="宋体" w:hAnsi="宋体" w:cs="宋体"/>
          <w:bCs/>
          <w:sz w:val="22"/>
          <w:szCs w:val="22"/>
          <w:u w:val="single"/>
        </w:rPr>
        <w:fldChar w:fldCharType="separate"/>
      </w:r>
      <w:r>
        <w:rPr>
          <w:rFonts w:hint="eastAsia" w:ascii="宋体" w:hAnsi="宋体" w:cs="宋体"/>
          <w:bCs/>
          <w:sz w:val="22"/>
          <w:szCs w:val="22"/>
          <w:u w:val="single"/>
        </w:rPr>
        <w:fldChar w:fldCharType="end"/>
      </w:r>
      <w:r>
        <w:rPr>
          <w:rFonts w:hint="eastAsia" w:ascii="宋体" w:hAnsi="宋体" w:cs="宋体"/>
          <w:bCs/>
          <w:sz w:val="22"/>
          <w:szCs w:val="22"/>
          <w:u w:val="single"/>
        </w:rPr>
        <w:t xml:space="preserve">      </w:t>
      </w:r>
      <w:r>
        <w:rPr>
          <w:rFonts w:hint="eastAsia" w:ascii="宋体" w:hAnsi="宋体" w:cs="宋体"/>
          <w:bCs/>
          <w:sz w:val="22"/>
          <w:szCs w:val="22"/>
        </w:rPr>
        <w:t>月</w:t>
      </w:r>
      <w:r>
        <w:rPr>
          <w:rFonts w:hint="eastAsia" w:ascii="宋体" w:hAnsi="宋体" w:cs="宋体"/>
          <w:bCs/>
          <w:sz w:val="22"/>
          <w:szCs w:val="22"/>
          <w:u w:val="single"/>
        </w:rPr>
        <w:fldChar w:fldCharType="begin"/>
      </w:r>
      <w:r>
        <w:rPr>
          <w:rFonts w:hint="eastAsia" w:ascii="宋体" w:hAnsi="宋体" w:cs="宋体"/>
          <w:bCs/>
          <w:sz w:val="22"/>
          <w:szCs w:val="22"/>
          <w:u w:val="single"/>
        </w:rPr>
        <w:instrText xml:space="preserve"> AUTOTEXT  " 空白"  \* MERGEFORMAT </w:instrText>
      </w:r>
      <w:r>
        <w:rPr>
          <w:rFonts w:hint="eastAsia" w:ascii="宋体" w:hAnsi="宋体" w:cs="宋体"/>
          <w:bCs/>
          <w:sz w:val="22"/>
          <w:szCs w:val="22"/>
          <w:u w:val="single"/>
        </w:rPr>
        <w:fldChar w:fldCharType="separate"/>
      </w:r>
      <w:r>
        <w:rPr>
          <w:rFonts w:hint="eastAsia" w:ascii="宋体" w:hAnsi="宋体" w:cs="宋体"/>
          <w:bCs/>
          <w:sz w:val="22"/>
          <w:szCs w:val="22"/>
          <w:u w:val="single"/>
        </w:rPr>
        <w:fldChar w:fldCharType="end"/>
      </w:r>
      <w:r>
        <w:rPr>
          <w:rFonts w:hint="eastAsia" w:ascii="宋体" w:hAnsi="宋体" w:cs="宋体"/>
          <w:bCs/>
          <w:sz w:val="22"/>
          <w:szCs w:val="22"/>
          <w:u w:val="single"/>
        </w:rPr>
        <w:t xml:space="preserve">    </w:t>
      </w:r>
      <w:bookmarkStart w:id="249" w:name="_Toc32615"/>
    </w:p>
    <w:p w14:paraId="401E31C6">
      <w:pPr>
        <w:jc w:val="left"/>
        <w:rPr>
          <w:rFonts w:hint="eastAsia"/>
          <w:highlight w:val="none"/>
          <w:lang w:val="en-US" w:eastAsia="zh-CN"/>
        </w:rPr>
      </w:pPr>
    </w:p>
    <w:p w14:paraId="44DFE57A">
      <w:pPr>
        <w:tabs>
          <w:tab w:val="left" w:pos="321"/>
        </w:tabs>
        <w:jc w:val="left"/>
        <w:rPr>
          <w:rFonts w:hint="eastAsia"/>
          <w:highlight w:val="none"/>
          <w:lang w:val="en-US" w:eastAsia="zh-CN"/>
        </w:rPr>
      </w:pPr>
      <w:r>
        <w:rPr>
          <w:rFonts w:hint="eastAsia"/>
          <w:highlight w:val="none"/>
          <w:lang w:val="en-US" w:eastAsia="zh-CN"/>
        </w:rPr>
        <w:tab/>
      </w:r>
    </w:p>
    <w:p w14:paraId="64B49557">
      <w:pPr>
        <w:rPr>
          <w:rFonts w:hint="eastAsia"/>
          <w:lang w:val="en-US" w:eastAsia="zh-CN"/>
        </w:rPr>
        <w:sectPr>
          <w:footerReference r:id="rId17" w:type="default"/>
          <w:pgSz w:w="11905" w:h="16838"/>
          <w:pgMar w:top="1440" w:right="1803" w:bottom="1440" w:left="1803" w:header="850" w:footer="850" w:gutter="0"/>
          <w:cols w:space="0" w:num="1"/>
          <w:docGrid w:linePitch="312" w:charSpace="0"/>
        </w:sectPr>
      </w:pPr>
    </w:p>
    <w:p w14:paraId="74D0380B">
      <w:pPr>
        <w:pStyle w:val="3"/>
        <w:rPr>
          <w:rFonts w:hint="eastAsia"/>
          <w:lang w:val="en-US" w:eastAsia="zh-CN"/>
        </w:rPr>
        <w:sectPr>
          <w:pgSz w:w="11905" w:h="16838"/>
          <w:pgMar w:top="1440" w:right="1803" w:bottom="1440" w:left="1803" w:header="850" w:footer="850" w:gutter="0"/>
          <w:cols w:space="0" w:num="1"/>
          <w:docGrid w:linePitch="312" w:charSpace="0"/>
        </w:sectPr>
      </w:pPr>
      <w:r>
        <w:rPr>
          <w:rFonts w:hint="eastAsia"/>
          <w:lang w:val="en-US" w:eastAsia="zh-CN"/>
        </w:rPr>
        <w:t>八</w:t>
      </w:r>
      <w:r>
        <w:t>、</w:t>
      </w:r>
      <w:r>
        <w:rPr>
          <w:rFonts w:hint="eastAsia" w:cs="Times New Roman"/>
          <w:lang w:val="en-US" w:eastAsia="zh-CN"/>
        </w:rPr>
        <w:t>技术规范</w:t>
      </w:r>
    </w:p>
    <w:p w14:paraId="7E8EBFD5">
      <w:pPr>
        <w:spacing w:line="360" w:lineRule="auto"/>
        <w:ind w:firstLine="0" w:firstLineChars="0"/>
        <w:jc w:val="both"/>
        <w:rPr>
          <w:rFonts w:hint="eastAsia" w:ascii="宋体" w:hAnsi="宋体"/>
          <w:b/>
          <w:sz w:val="36"/>
          <w:szCs w:val="36"/>
        </w:rPr>
      </w:pPr>
    </w:p>
    <w:p w14:paraId="4A8913C5">
      <w:pPr>
        <w:spacing w:before="240" w:line="360" w:lineRule="auto"/>
        <w:ind w:firstLine="420"/>
        <w:rPr>
          <w:rFonts w:hint="eastAsia"/>
        </w:rPr>
      </w:pPr>
    </w:p>
    <w:p w14:paraId="13E514BD">
      <w:pPr>
        <w:spacing w:line="240" w:lineRule="auto"/>
        <w:ind w:firstLine="0" w:firstLineChars="0"/>
        <w:jc w:val="center"/>
        <w:rPr>
          <w:rFonts w:hint="eastAsia" w:ascii="宋体" w:hAnsi="宋体"/>
          <w:sz w:val="18"/>
          <w:szCs w:val="18"/>
        </w:rPr>
      </w:pPr>
    </w:p>
    <w:p w14:paraId="1A2C8572">
      <w:pPr>
        <w:spacing w:line="360" w:lineRule="auto"/>
        <w:ind w:firstLine="0" w:firstLineChars="0"/>
        <w:jc w:val="center"/>
        <w:rPr>
          <w:rFonts w:hint="eastAsia"/>
          <w:b/>
          <w:sz w:val="52"/>
          <w:szCs w:val="52"/>
        </w:rPr>
      </w:pPr>
      <w:r>
        <w:rPr>
          <w:rFonts w:hint="eastAsia"/>
          <w:b/>
          <w:sz w:val="52"/>
          <w:szCs w:val="52"/>
        </w:rPr>
        <w:t>江苏方洋能源科技有限公司10kV、0.4kV电缆采购</w:t>
      </w:r>
    </w:p>
    <w:p w14:paraId="694AB3DF">
      <w:pPr>
        <w:spacing w:line="360" w:lineRule="auto"/>
        <w:ind w:firstLine="0" w:firstLineChars="0"/>
        <w:rPr>
          <w:rFonts w:hint="eastAsia"/>
          <w:b/>
          <w:sz w:val="52"/>
          <w:szCs w:val="52"/>
        </w:rPr>
      </w:pPr>
    </w:p>
    <w:p w14:paraId="40B20495">
      <w:pPr>
        <w:spacing w:before="240" w:line="360" w:lineRule="auto"/>
        <w:ind w:firstLine="420"/>
        <w:rPr>
          <w:rFonts w:hint="eastAsia"/>
        </w:rPr>
      </w:pPr>
    </w:p>
    <w:p w14:paraId="7F95E933">
      <w:pPr>
        <w:spacing w:line="360" w:lineRule="auto"/>
        <w:ind w:firstLine="0" w:firstLineChars="0"/>
        <w:jc w:val="center"/>
        <w:rPr>
          <w:rFonts w:hint="eastAsia"/>
          <w:b/>
          <w:sz w:val="52"/>
          <w:szCs w:val="52"/>
        </w:rPr>
      </w:pPr>
    </w:p>
    <w:p w14:paraId="778315CB">
      <w:pPr>
        <w:spacing w:line="360" w:lineRule="auto"/>
        <w:ind w:firstLine="0" w:firstLineChars="0"/>
        <w:jc w:val="center"/>
        <w:rPr>
          <w:rFonts w:hint="eastAsia"/>
          <w:b/>
          <w:sz w:val="52"/>
          <w:szCs w:val="52"/>
        </w:rPr>
      </w:pPr>
      <w:r>
        <w:rPr>
          <w:rFonts w:hint="eastAsia"/>
          <w:b/>
          <w:sz w:val="52"/>
          <w:szCs w:val="52"/>
        </w:rPr>
        <w:t>技术规格书</w:t>
      </w:r>
    </w:p>
    <w:p w14:paraId="530402FD">
      <w:pPr>
        <w:spacing w:line="312" w:lineRule="auto"/>
        <w:ind w:firstLine="0" w:firstLineChars="0"/>
        <w:jc w:val="center"/>
      </w:pPr>
    </w:p>
    <w:p w14:paraId="5B7EF444">
      <w:pPr>
        <w:spacing w:line="312" w:lineRule="auto"/>
        <w:ind w:firstLine="0" w:firstLineChars="0"/>
        <w:jc w:val="center"/>
      </w:pPr>
    </w:p>
    <w:p w14:paraId="2AB14066">
      <w:pPr>
        <w:spacing w:line="312" w:lineRule="auto"/>
        <w:ind w:firstLine="0" w:firstLineChars="0"/>
        <w:jc w:val="center"/>
      </w:pPr>
    </w:p>
    <w:p w14:paraId="2DD1780E">
      <w:pPr>
        <w:spacing w:line="312" w:lineRule="auto"/>
        <w:ind w:firstLine="0" w:firstLineChars="0"/>
        <w:jc w:val="center"/>
      </w:pPr>
    </w:p>
    <w:p w14:paraId="7B712C9C">
      <w:pPr>
        <w:spacing w:line="312" w:lineRule="auto"/>
        <w:ind w:firstLine="0" w:firstLineChars="0"/>
        <w:rPr>
          <w:rFonts w:hint="eastAsia"/>
          <w:b/>
          <w:sz w:val="30"/>
          <w:szCs w:val="30"/>
        </w:rPr>
      </w:pPr>
    </w:p>
    <w:p w14:paraId="0242D809">
      <w:pPr>
        <w:spacing w:line="312" w:lineRule="auto"/>
        <w:ind w:firstLine="0" w:firstLineChars="0"/>
        <w:rPr>
          <w:rFonts w:hint="eastAsia"/>
          <w:b/>
          <w:sz w:val="30"/>
          <w:szCs w:val="30"/>
        </w:rPr>
      </w:pPr>
    </w:p>
    <w:p w14:paraId="77E72E32">
      <w:pPr>
        <w:spacing w:line="360" w:lineRule="auto"/>
        <w:ind w:firstLine="0" w:firstLineChars="0"/>
        <w:rPr>
          <w:rFonts w:hint="eastAsia" w:ascii="宋体" w:hAnsi="宋体" w:cs="Arial"/>
          <w:sz w:val="30"/>
          <w:szCs w:val="30"/>
        </w:rPr>
      </w:pPr>
    </w:p>
    <w:p w14:paraId="28538AD7">
      <w:pPr>
        <w:spacing w:before="240" w:line="360" w:lineRule="auto"/>
        <w:ind w:firstLine="600"/>
        <w:rPr>
          <w:rFonts w:hint="eastAsia" w:ascii="宋体" w:hAnsi="宋体" w:cs="Arial"/>
          <w:sz w:val="30"/>
          <w:szCs w:val="30"/>
        </w:rPr>
      </w:pPr>
    </w:p>
    <w:p w14:paraId="43B670D8">
      <w:pPr>
        <w:spacing w:line="360" w:lineRule="auto"/>
        <w:ind w:firstLine="0" w:firstLineChars="0"/>
        <w:jc w:val="center"/>
        <w:rPr>
          <w:rFonts w:ascii="宋体" w:hAnsi="宋体" w:cs="Arial"/>
          <w:sz w:val="30"/>
          <w:szCs w:val="30"/>
        </w:rPr>
      </w:pPr>
      <w:r>
        <w:rPr>
          <w:rFonts w:hint="eastAsia" w:ascii="宋体" w:hAnsi="宋体" w:cs="Arial"/>
          <w:sz w:val="30"/>
          <w:szCs w:val="30"/>
          <w:lang w:val="en-US" w:eastAsia="zh-CN"/>
        </w:rPr>
        <w:t xml:space="preserve">  2025</w:t>
      </w:r>
      <w:r>
        <w:rPr>
          <w:rFonts w:hint="eastAsia" w:ascii="宋体" w:hAnsi="宋体" w:cs="Arial"/>
          <w:sz w:val="30"/>
          <w:szCs w:val="30"/>
        </w:rPr>
        <w:t>年</w:t>
      </w:r>
      <w:r>
        <w:rPr>
          <w:rFonts w:hint="eastAsia" w:ascii="宋体" w:hAnsi="宋体" w:cs="Arial"/>
          <w:sz w:val="30"/>
          <w:szCs w:val="30"/>
          <w:lang w:val="en-US" w:eastAsia="zh-CN"/>
        </w:rPr>
        <w:t>9</w:t>
      </w:r>
      <w:r>
        <w:rPr>
          <w:rFonts w:hint="eastAsia" w:ascii="宋体" w:hAnsi="宋体" w:cs="Arial"/>
          <w:sz w:val="30"/>
          <w:szCs w:val="30"/>
        </w:rPr>
        <w:t>月</w:t>
      </w:r>
    </w:p>
    <w:p w14:paraId="2F4594FB">
      <w:pPr>
        <w:spacing w:before="240" w:line="360" w:lineRule="auto"/>
        <w:ind w:firstLine="600"/>
        <w:rPr>
          <w:rFonts w:hint="eastAsia" w:ascii="宋体" w:hAnsi="宋体" w:cs="Arial"/>
          <w:sz w:val="30"/>
          <w:szCs w:val="30"/>
        </w:rPr>
      </w:pPr>
    </w:p>
    <w:p w14:paraId="4244295E">
      <w:pPr>
        <w:spacing w:before="240" w:line="360" w:lineRule="auto"/>
        <w:ind w:firstLine="600"/>
        <w:jc w:val="center"/>
        <w:rPr>
          <w:rFonts w:hint="eastAsia" w:ascii="宋体" w:hAnsi="宋体" w:cs="Arial"/>
          <w:sz w:val="30"/>
          <w:szCs w:val="30"/>
        </w:rPr>
        <w:sectPr>
          <w:pgSz w:w="11907" w:h="16840"/>
          <w:pgMar w:top="1440" w:right="1559" w:bottom="1440" w:left="1560" w:header="851" w:footer="851" w:gutter="0"/>
          <w:cols w:space="720" w:num="1"/>
          <w:docGrid w:linePitch="312" w:charSpace="0"/>
        </w:sectPr>
      </w:pPr>
    </w:p>
    <w:p w14:paraId="3859697C">
      <w:pPr>
        <w:spacing w:line="353" w:lineRule="auto"/>
        <w:ind w:firstLine="0" w:firstLineChars="0"/>
        <w:rPr>
          <w:rFonts w:hint="eastAsia" w:ascii="宋体" w:hAnsi="宋体" w:cs="宋体"/>
          <w:b/>
          <w:szCs w:val="21"/>
        </w:rPr>
      </w:pPr>
      <w:r>
        <w:rPr>
          <w:rFonts w:hint="eastAsia" w:ascii="宋体" w:hAnsi="宋体" w:cs="宋体"/>
          <w:b/>
          <w:szCs w:val="21"/>
        </w:rPr>
        <w:t>一、总则：</w:t>
      </w:r>
    </w:p>
    <w:p w14:paraId="4096BB3A">
      <w:pPr>
        <w:spacing w:line="353" w:lineRule="auto"/>
        <w:ind w:firstLine="0" w:firstLineChars="0"/>
        <w:rPr>
          <w:rFonts w:hint="eastAsia" w:ascii="宋体" w:hAnsi="宋体" w:cs="宋体"/>
          <w:szCs w:val="21"/>
        </w:rPr>
      </w:pPr>
      <w:r>
        <w:rPr>
          <w:rFonts w:hint="eastAsia" w:ascii="宋体" w:hAnsi="宋体" w:cs="宋体"/>
          <w:szCs w:val="21"/>
        </w:rPr>
        <w:t>1.1 本技术规范适用</w:t>
      </w:r>
      <w:r>
        <w:rPr>
          <w:rFonts w:hint="eastAsia" w:ascii="宋体" w:hAnsi="宋体" w:cs="宋体"/>
          <w:color w:val="000000"/>
          <w:szCs w:val="21"/>
        </w:rPr>
        <w:t>于</w:t>
      </w:r>
      <w:r>
        <w:rPr>
          <w:rFonts w:hint="eastAsia" w:ascii="宋体" w:hAnsi="宋体" w:cs="宋体"/>
          <w:szCs w:val="21"/>
        </w:rPr>
        <w:t>江苏方洋能源科技有限公司10kV、0.4kV</w:t>
      </w:r>
      <w:r>
        <w:rPr>
          <w:rFonts w:hint="eastAsia" w:ascii="宋体" w:hAnsi="宋体" w:cs="宋体"/>
          <w:color w:val="000000"/>
          <w:szCs w:val="21"/>
        </w:rPr>
        <w:t>电缆采购</w:t>
      </w:r>
      <w:r>
        <w:rPr>
          <w:rFonts w:hint="eastAsia" w:ascii="宋体" w:hAnsi="宋体" w:cs="宋体"/>
          <w:szCs w:val="21"/>
        </w:rPr>
        <w:t>。它包括了10kV高压电缆、0.4kV低压电缆的使用条件、性能、安装和</w:t>
      </w:r>
      <w:r>
        <w:rPr>
          <w:rFonts w:hint="eastAsia" w:ascii="宋体" w:hAnsi="宋体" w:cs="宋体"/>
          <w:color w:val="000000"/>
          <w:szCs w:val="21"/>
        </w:rPr>
        <w:t>试验方面的技术要求。</w:t>
      </w:r>
    </w:p>
    <w:p w14:paraId="54F4EA89">
      <w:pPr>
        <w:spacing w:line="353" w:lineRule="auto"/>
        <w:ind w:firstLine="0" w:firstLineChars="0"/>
        <w:rPr>
          <w:rFonts w:hint="eastAsia" w:ascii="宋体" w:hAnsi="宋体" w:cs="宋体"/>
          <w:b/>
          <w:szCs w:val="21"/>
        </w:rPr>
      </w:pPr>
      <w:r>
        <w:rPr>
          <w:rFonts w:hint="eastAsia" w:ascii="宋体" w:hAnsi="宋体" w:cs="宋体"/>
          <w:color w:val="000000"/>
          <w:szCs w:val="21"/>
        </w:rPr>
        <w:t>1.2本技术规格书规范提出的是最低限度的技术要求，并未对一</w:t>
      </w:r>
      <w:r>
        <w:rPr>
          <w:rFonts w:hint="eastAsia" w:ascii="宋体" w:hAnsi="宋体" w:cs="宋体"/>
          <w:szCs w:val="21"/>
        </w:rPr>
        <w:t>切技术细节作出规定，也未充分引述有关标准和规范的条文，谈判方保证提供符合本</w:t>
      </w:r>
      <w:r>
        <w:rPr>
          <w:rFonts w:hint="eastAsia" w:ascii="宋体" w:hAnsi="宋体" w:cs="宋体"/>
          <w:b/>
          <w:szCs w:val="21"/>
        </w:rPr>
        <w:t>规范书和工业标准的高品质优质产品，并提供相应的服务。</w:t>
      </w:r>
    </w:p>
    <w:p w14:paraId="35B58A55">
      <w:pPr>
        <w:spacing w:line="353" w:lineRule="auto"/>
        <w:ind w:firstLine="0" w:firstLineChars="0"/>
        <w:rPr>
          <w:rFonts w:hint="eastAsia" w:ascii="宋体" w:hAnsi="宋体" w:cs="宋体"/>
          <w:szCs w:val="21"/>
        </w:rPr>
      </w:pPr>
      <w:r>
        <w:rPr>
          <w:rFonts w:hint="eastAsia" w:ascii="宋体" w:hAnsi="宋体" w:cs="宋体"/>
          <w:szCs w:val="21"/>
        </w:rPr>
        <w:t>1.3 如谈判方没有以书面形式对本技术规范的条文提出异议，那么采购方认为谈判方提出的产品完全满足本技术规范的要求。</w:t>
      </w:r>
    </w:p>
    <w:p w14:paraId="144045E6">
      <w:pPr>
        <w:numPr>
          <w:ilvl w:val="1"/>
          <w:numId w:val="0"/>
        </w:numPr>
        <w:tabs>
          <w:tab w:val="left" w:pos="0"/>
          <w:tab w:val="left" w:pos="1644"/>
        </w:tabs>
        <w:spacing w:line="353" w:lineRule="auto"/>
        <w:rPr>
          <w:rFonts w:hint="eastAsia" w:ascii="宋体" w:hAnsi="宋体" w:cs="宋体"/>
          <w:spacing w:val="2"/>
          <w:szCs w:val="21"/>
        </w:rPr>
      </w:pPr>
      <w:r>
        <w:rPr>
          <w:rFonts w:hint="eastAsia" w:ascii="宋体" w:hAnsi="宋体" w:cs="宋体"/>
          <w:szCs w:val="21"/>
        </w:rPr>
        <w:t>1.4 在合同签订之后，采购方有权提出因规范、标准和规程发生变化而产生的一些补充要求，谈判方应执行这些要求。但在执行上述要求或设计有变更时，如影响交货日期或对谈判方造成较大损失时，采购方和谈判方双方本着友好的态度，彼此尊重对方的权益而作认真协商解决。</w:t>
      </w:r>
    </w:p>
    <w:p w14:paraId="2DDE45EE">
      <w:pPr>
        <w:numPr>
          <w:ilvl w:val="1"/>
          <w:numId w:val="0"/>
        </w:numPr>
        <w:tabs>
          <w:tab w:val="left" w:pos="0"/>
          <w:tab w:val="left" w:pos="1644"/>
        </w:tabs>
        <w:spacing w:line="353" w:lineRule="auto"/>
        <w:rPr>
          <w:rFonts w:hint="eastAsia" w:ascii="宋体" w:hAnsi="宋体" w:cs="宋体"/>
          <w:spacing w:val="2"/>
          <w:szCs w:val="21"/>
        </w:rPr>
      </w:pPr>
      <w:r>
        <w:rPr>
          <w:rFonts w:hint="eastAsia" w:ascii="宋体" w:hAnsi="宋体" w:cs="宋体"/>
          <w:spacing w:val="2"/>
          <w:szCs w:val="21"/>
        </w:rPr>
        <w:t>1.5 如果谈判方没有以书面形式对本技术规范的条文提出异议，那么，则意味着谈判方提供的电缆完全符合采购方采购文件的要求。</w:t>
      </w:r>
    </w:p>
    <w:p w14:paraId="31634E9B">
      <w:pPr>
        <w:spacing w:line="353" w:lineRule="auto"/>
        <w:ind w:firstLine="0" w:firstLineChars="0"/>
        <w:rPr>
          <w:rFonts w:hint="eastAsia" w:ascii="宋体" w:hAnsi="宋体" w:cs="宋体"/>
          <w:szCs w:val="21"/>
        </w:rPr>
      </w:pPr>
      <w:r>
        <w:rPr>
          <w:rFonts w:hint="eastAsia" w:ascii="宋体" w:hAnsi="宋体" w:cs="宋体"/>
          <w:szCs w:val="21"/>
        </w:rPr>
        <w:t>1.6 本技术规范所使用的标准如遇与谈判方所执行的标准发生矛盾时，按较高标准执行。</w:t>
      </w:r>
    </w:p>
    <w:p w14:paraId="6C18512C">
      <w:pPr>
        <w:numPr>
          <w:ilvl w:val="1"/>
          <w:numId w:val="0"/>
        </w:numPr>
        <w:tabs>
          <w:tab w:val="left" w:pos="0"/>
          <w:tab w:val="left" w:pos="1644"/>
        </w:tabs>
        <w:spacing w:line="353" w:lineRule="auto"/>
        <w:rPr>
          <w:rFonts w:hint="eastAsia" w:ascii="宋体" w:hAnsi="宋体" w:cs="宋体"/>
          <w:szCs w:val="21"/>
        </w:rPr>
      </w:pPr>
      <w:r>
        <w:rPr>
          <w:rFonts w:hint="eastAsia" w:ascii="宋体" w:hAnsi="宋体" w:cs="宋体"/>
          <w:spacing w:val="2"/>
          <w:szCs w:val="21"/>
        </w:rPr>
        <w:t>1.7 本技术规范经采购方和谈判方双方确认后作为框架协议合同的技术附件，与合同正文具有同等效力。</w:t>
      </w:r>
    </w:p>
    <w:p w14:paraId="48168C42">
      <w:pPr>
        <w:spacing w:line="353" w:lineRule="auto"/>
        <w:ind w:firstLine="0" w:firstLineChars="0"/>
        <w:rPr>
          <w:rFonts w:hint="eastAsia" w:ascii="宋体" w:hAnsi="宋体" w:cs="宋体"/>
          <w:szCs w:val="21"/>
        </w:rPr>
      </w:pPr>
      <w:r>
        <w:rPr>
          <w:rFonts w:hint="eastAsia" w:ascii="宋体" w:hAnsi="宋体" w:cs="宋体"/>
          <w:szCs w:val="21"/>
        </w:rPr>
        <w:t>1.8 对于本技术规范没有涉及的条款，谈判方在响应文件和技术澄清中所作的对采购方有利的技术和供货方案、承诺，均被视为本技术规范的补充。</w:t>
      </w:r>
    </w:p>
    <w:p w14:paraId="69F82CFB">
      <w:pPr>
        <w:numPr>
          <w:ilvl w:val="1"/>
          <w:numId w:val="0"/>
        </w:numPr>
        <w:tabs>
          <w:tab w:val="left" w:pos="0"/>
          <w:tab w:val="left" w:pos="1644"/>
        </w:tabs>
        <w:spacing w:line="353" w:lineRule="auto"/>
        <w:rPr>
          <w:rFonts w:hint="eastAsia" w:ascii="宋体" w:hAnsi="宋体" w:cs="宋体"/>
          <w:szCs w:val="21"/>
        </w:rPr>
      </w:pPr>
      <w:r>
        <w:rPr>
          <w:rFonts w:hint="eastAsia" w:ascii="宋体" w:hAnsi="宋体" w:cs="宋体"/>
          <w:szCs w:val="21"/>
        </w:rPr>
        <w:t>1.9 谈判方的工作范围</w:t>
      </w:r>
    </w:p>
    <w:p w14:paraId="707238E9">
      <w:pPr>
        <w:spacing w:line="353" w:lineRule="auto"/>
        <w:ind w:firstLine="0" w:firstLineChars="0"/>
        <w:rPr>
          <w:rFonts w:hint="eastAsia" w:ascii="宋体" w:hAnsi="宋体" w:cs="宋体"/>
          <w:szCs w:val="21"/>
        </w:rPr>
      </w:pPr>
      <w:r>
        <w:rPr>
          <w:rFonts w:hint="eastAsia" w:ascii="宋体" w:hAnsi="宋体" w:cs="宋体"/>
          <w:szCs w:val="21"/>
        </w:rPr>
        <w:t>1.9.1 按照采购方电缆采购文件的规定和适用的国际通用工业标准，成套提供满足采购方采购文件要求的电力电缆。</w:t>
      </w:r>
    </w:p>
    <w:p w14:paraId="3D42DCE5">
      <w:pPr>
        <w:spacing w:line="353" w:lineRule="auto"/>
        <w:ind w:firstLine="0" w:firstLineChars="0"/>
        <w:rPr>
          <w:rFonts w:hint="eastAsia" w:ascii="宋体" w:hAnsi="宋体" w:cs="宋体"/>
          <w:szCs w:val="21"/>
        </w:rPr>
      </w:pPr>
      <w:r>
        <w:rPr>
          <w:rFonts w:hint="eastAsia" w:ascii="宋体" w:hAnsi="宋体" w:cs="宋体"/>
          <w:szCs w:val="21"/>
        </w:rPr>
        <w:t>1.9.2 根据采购方提供电缆采购订单，进行生产制造，以达到采购方采购文件的规定的要求。</w:t>
      </w:r>
    </w:p>
    <w:p w14:paraId="2A9F71DA">
      <w:pPr>
        <w:spacing w:line="353" w:lineRule="auto"/>
        <w:ind w:firstLine="0" w:firstLineChars="0"/>
        <w:rPr>
          <w:rFonts w:hint="eastAsia" w:ascii="宋体" w:hAnsi="宋体" w:cs="宋体"/>
          <w:szCs w:val="21"/>
        </w:rPr>
      </w:pPr>
      <w:r>
        <w:rPr>
          <w:rFonts w:hint="eastAsia" w:ascii="宋体" w:hAnsi="宋体" w:cs="宋体"/>
          <w:szCs w:val="21"/>
        </w:rPr>
        <w:t>1.10 谈判方提交资料应及时充分，并满足工程进度要求。在合同签订后3个工作日内给出以下全部技术资料清单和交付进度，并经采购方确认。谈判方应按采购要求提供各类电缆的型号、绝缘材料、规格、截面、直径、载流量、电阻、单位重量、生产日期等参数及详细样本。电缆外层护套材料的性能使用报告或质量合格的鉴定证书、各类电缆敷设弯曲半径，所能承受最大拉应力和侧压力、各类电缆的出厂检验报告，质量合格的鉴定证明。</w:t>
      </w:r>
    </w:p>
    <w:p w14:paraId="5BD48389">
      <w:pPr>
        <w:spacing w:line="353" w:lineRule="auto"/>
        <w:ind w:firstLine="0" w:firstLineChars="0"/>
        <w:rPr>
          <w:rFonts w:hint="eastAsia" w:ascii="宋体" w:hAnsi="宋体" w:cs="宋体"/>
          <w:szCs w:val="21"/>
        </w:rPr>
      </w:pPr>
      <w:r>
        <w:rPr>
          <w:rFonts w:hint="eastAsia" w:ascii="宋体" w:hAnsi="宋体" w:cs="宋体"/>
          <w:szCs w:val="21"/>
        </w:rPr>
        <w:t>1.11 按照合同规定的时间进度、数量要求，按时发货。</w:t>
      </w:r>
    </w:p>
    <w:p w14:paraId="2E13C9C0">
      <w:pPr>
        <w:numPr>
          <w:ilvl w:val="1"/>
          <w:numId w:val="0"/>
        </w:numPr>
        <w:tabs>
          <w:tab w:val="left" w:pos="0"/>
          <w:tab w:val="left" w:pos="1644"/>
        </w:tabs>
        <w:spacing w:line="353" w:lineRule="auto"/>
        <w:rPr>
          <w:rFonts w:hint="eastAsia" w:ascii="宋体" w:hAnsi="宋体" w:cs="宋体"/>
          <w:b/>
          <w:bCs/>
          <w:spacing w:val="2"/>
          <w:szCs w:val="21"/>
        </w:rPr>
      </w:pPr>
      <w:r>
        <w:rPr>
          <w:rFonts w:hint="eastAsia" w:ascii="宋体" w:hAnsi="宋体" w:cs="宋体"/>
          <w:b/>
          <w:bCs/>
          <w:spacing w:val="2"/>
          <w:szCs w:val="21"/>
        </w:rPr>
        <w:t>二、规范和标准和工程条件</w:t>
      </w:r>
    </w:p>
    <w:p w14:paraId="7612E173">
      <w:pPr>
        <w:spacing w:line="353" w:lineRule="auto"/>
        <w:ind w:firstLine="86" w:firstLineChars="41"/>
        <w:textAlignment w:val="bottom"/>
        <w:rPr>
          <w:rFonts w:hint="eastAsia" w:ascii="宋体" w:hAnsi="宋体" w:cs="宋体"/>
          <w:szCs w:val="21"/>
        </w:rPr>
      </w:pPr>
      <w:r>
        <w:rPr>
          <w:rFonts w:hint="eastAsia" w:ascii="宋体" w:hAnsi="宋体" w:cs="宋体"/>
          <w:szCs w:val="21"/>
        </w:rPr>
        <w:t>1.产品质量符合下列标准（以下标准按最新颁布的版本执行）</w:t>
      </w:r>
    </w:p>
    <w:p w14:paraId="15C2D5C8">
      <w:pPr>
        <w:spacing w:line="353" w:lineRule="auto"/>
        <w:ind w:firstLine="86" w:firstLineChars="41"/>
        <w:textAlignment w:val="bottom"/>
        <w:rPr>
          <w:rFonts w:hint="eastAsia" w:ascii="宋体" w:hAnsi="宋体" w:cs="宋体"/>
          <w:szCs w:val="21"/>
        </w:rPr>
      </w:pPr>
      <w:r>
        <w:rPr>
          <w:rFonts w:hint="eastAsia" w:ascii="宋体" w:hAnsi="宋体" w:cs="宋体"/>
          <w:szCs w:val="21"/>
        </w:rPr>
        <w:t>GB 311.1 高压输变电设备的绝缘配合</w:t>
      </w:r>
    </w:p>
    <w:p w14:paraId="2DFDCCB4">
      <w:pPr>
        <w:spacing w:line="353" w:lineRule="auto"/>
        <w:ind w:firstLine="86" w:firstLineChars="41"/>
        <w:textAlignment w:val="bottom"/>
        <w:rPr>
          <w:rFonts w:hint="eastAsia" w:ascii="宋体" w:hAnsi="宋体" w:cs="宋体"/>
          <w:szCs w:val="21"/>
        </w:rPr>
      </w:pPr>
      <w:r>
        <w:rPr>
          <w:rFonts w:hint="eastAsia" w:ascii="宋体" w:hAnsi="宋体" w:cs="宋体"/>
          <w:szCs w:val="21"/>
        </w:rPr>
        <w:t>GB/T 2951 电缆和光缆绝缘和护套材料通用试验方法</w:t>
      </w:r>
    </w:p>
    <w:p w14:paraId="38133D71">
      <w:pPr>
        <w:spacing w:line="353" w:lineRule="auto"/>
        <w:ind w:firstLine="86" w:firstLineChars="41"/>
        <w:textAlignment w:val="bottom"/>
        <w:rPr>
          <w:rFonts w:hint="eastAsia" w:ascii="宋体" w:hAnsi="宋体" w:cs="宋体"/>
          <w:szCs w:val="21"/>
        </w:rPr>
      </w:pPr>
      <w:r>
        <w:rPr>
          <w:rFonts w:hint="eastAsia" w:ascii="宋体" w:hAnsi="宋体" w:cs="宋体"/>
          <w:szCs w:val="21"/>
        </w:rPr>
        <w:t>GB/T 2952.1 电缆外护层第1部分：总则</w:t>
      </w:r>
    </w:p>
    <w:p w14:paraId="6FE524C1">
      <w:pPr>
        <w:spacing w:line="353" w:lineRule="auto"/>
        <w:ind w:firstLine="86" w:firstLineChars="41"/>
        <w:textAlignment w:val="bottom"/>
        <w:rPr>
          <w:rFonts w:hint="eastAsia" w:ascii="宋体" w:hAnsi="宋体" w:cs="宋体"/>
          <w:szCs w:val="21"/>
        </w:rPr>
      </w:pPr>
      <w:r>
        <w:rPr>
          <w:rFonts w:hint="eastAsia" w:ascii="宋体" w:hAnsi="宋体" w:cs="宋体"/>
          <w:szCs w:val="21"/>
        </w:rPr>
        <w:t>GB/T 3048 电线电缆电性能试验方法</w:t>
      </w:r>
    </w:p>
    <w:p w14:paraId="2637DE43">
      <w:pPr>
        <w:spacing w:line="353" w:lineRule="auto"/>
        <w:ind w:firstLine="86" w:firstLineChars="41"/>
        <w:textAlignment w:val="bottom"/>
        <w:rPr>
          <w:rFonts w:hint="eastAsia" w:ascii="宋体" w:hAnsi="宋体" w:cs="宋体"/>
          <w:szCs w:val="21"/>
        </w:rPr>
      </w:pPr>
      <w:r>
        <w:rPr>
          <w:rFonts w:hint="eastAsia" w:ascii="宋体" w:hAnsi="宋体" w:cs="宋体"/>
          <w:szCs w:val="21"/>
        </w:rPr>
        <w:t>GB/T 3956 电缆的导体</w:t>
      </w:r>
    </w:p>
    <w:p w14:paraId="33C10B5A">
      <w:pPr>
        <w:spacing w:line="353" w:lineRule="auto"/>
        <w:ind w:firstLine="86" w:firstLineChars="41"/>
        <w:textAlignment w:val="bottom"/>
        <w:rPr>
          <w:rFonts w:hint="eastAsia" w:ascii="宋体" w:hAnsi="宋体" w:cs="宋体"/>
          <w:szCs w:val="21"/>
        </w:rPr>
      </w:pPr>
      <w:r>
        <w:rPr>
          <w:rFonts w:hint="eastAsia" w:ascii="宋体" w:hAnsi="宋体" w:cs="宋体"/>
          <w:szCs w:val="21"/>
        </w:rPr>
        <w:t>GB 6995.1 电线电缆识别标志方法第1部分：一般规定</w:t>
      </w:r>
    </w:p>
    <w:p w14:paraId="5010B9FC">
      <w:pPr>
        <w:spacing w:line="353" w:lineRule="auto"/>
        <w:ind w:firstLine="86" w:firstLineChars="41"/>
        <w:textAlignment w:val="bottom"/>
        <w:rPr>
          <w:rFonts w:hint="eastAsia" w:ascii="宋体" w:hAnsi="宋体" w:cs="宋体"/>
          <w:szCs w:val="21"/>
        </w:rPr>
      </w:pPr>
      <w:r>
        <w:rPr>
          <w:rFonts w:hint="eastAsia" w:ascii="宋体" w:hAnsi="宋体" w:cs="宋体"/>
          <w:szCs w:val="21"/>
        </w:rPr>
        <w:t>GB 6995.3 电线电缆识别标志方法第3部分：电线电缆识别标志</w:t>
      </w:r>
    </w:p>
    <w:p w14:paraId="58CDCEEC">
      <w:pPr>
        <w:spacing w:line="353" w:lineRule="auto"/>
        <w:ind w:firstLine="86" w:firstLineChars="41"/>
        <w:textAlignment w:val="bottom"/>
        <w:rPr>
          <w:rFonts w:hint="eastAsia" w:ascii="宋体" w:hAnsi="宋体" w:cs="宋体"/>
          <w:szCs w:val="21"/>
        </w:rPr>
      </w:pPr>
      <w:r>
        <w:rPr>
          <w:rFonts w:hint="eastAsia" w:ascii="宋体" w:hAnsi="宋体" w:cs="宋体"/>
          <w:szCs w:val="21"/>
        </w:rPr>
        <w:t>GB/T 7354 局部放电测量</w:t>
      </w:r>
    </w:p>
    <w:p w14:paraId="57DA5543">
      <w:pPr>
        <w:spacing w:line="353" w:lineRule="auto"/>
        <w:ind w:firstLine="86" w:firstLineChars="41"/>
        <w:textAlignment w:val="bottom"/>
        <w:rPr>
          <w:rFonts w:hint="eastAsia" w:ascii="宋体" w:hAnsi="宋体" w:cs="宋体"/>
          <w:szCs w:val="21"/>
        </w:rPr>
      </w:pPr>
      <w:r>
        <w:rPr>
          <w:rFonts w:hint="eastAsia" w:ascii="宋体" w:hAnsi="宋体" w:cs="宋体"/>
          <w:szCs w:val="21"/>
        </w:rPr>
        <w:t>GB 14315 电力电缆导体用压接型铜、铝接线端子和连接管</w:t>
      </w:r>
    </w:p>
    <w:p w14:paraId="6C8E455B">
      <w:pPr>
        <w:spacing w:line="353" w:lineRule="auto"/>
        <w:ind w:firstLine="86" w:firstLineChars="41"/>
        <w:textAlignment w:val="bottom"/>
        <w:rPr>
          <w:rFonts w:hint="eastAsia" w:ascii="宋体" w:hAnsi="宋体" w:cs="宋体"/>
          <w:szCs w:val="21"/>
        </w:rPr>
      </w:pPr>
      <w:r>
        <w:rPr>
          <w:rFonts w:hint="eastAsia" w:ascii="宋体" w:hAnsi="宋体" w:cs="宋体"/>
          <w:szCs w:val="21"/>
        </w:rPr>
        <w:t>GB/T 12706.2 额定电压1kV（Um=1.2kV）到35kV（Um=40.5kV）挤包绝缘</w:t>
      </w:r>
    </w:p>
    <w:p w14:paraId="0E8803F6">
      <w:pPr>
        <w:spacing w:line="353" w:lineRule="auto"/>
        <w:ind w:firstLine="86" w:firstLineChars="41"/>
        <w:textAlignment w:val="bottom"/>
        <w:rPr>
          <w:rFonts w:hint="eastAsia" w:ascii="宋体" w:hAnsi="宋体" w:cs="宋体"/>
          <w:szCs w:val="21"/>
        </w:rPr>
      </w:pPr>
      <w:r>
        <w:rPr>
          <w:rFonts w:hint="eastAsia" w:ascii="宋体" w:hAnsi="宋体" w:cs="宋体"/>
          <w:szCs w:val="21"/>
        </w:rPr>
        <w:t>电力电缆及其附件第2部分：额定电压6 kV（Um=7.2kV）到30 kV（Um=36kV）电缆额定电压1kV（Um=1.2kV）到35kV（Um=40.5kV）挤包绝缘电力电缆及其附件第3部分：额定电压35 kV（Um=40.5kV）电缆</w:t>
      </w:r>
    </w:p>
    <w:p w14:paraId="5B48E59D">
      <w:pPr>
        <w:spacing w:line="353" w:lineRule="auto"/>
        <w:ind w:firstLine="86" w:firstLineChars="41"/>
        <w:textAlignment w:val="bottom"/>
        <w:rPr>
          <w:rFonts w:hint="eastAsia" w:ascii="宋体" w:hAnsi="宋体" w:cs="宋体"/>
          <w:szCs w:val="21"/>
        </w:rPr>
      </w:pPr>
      <w:r>
        <w:rPr>
          <w:rFonts w:hint="eastAsia" w:ascii="宋体" w:hAnsi="宋体" w:cs="宋体"/>
          <w:szCs w:val="21"/>
        </w:rPr>
        <w:t>GB/T 19666 阻燃和耐火电线电缆通则</w:t>
      </w:r>
    </w:p>
    <w:p w14:paraId="63890BF1">
      <w:pPr>
        <w:spacing w:line="353" w:lineRule="auto"/>
        <w:ind w:firstLine="86" w:firstLineChars="41"/>
        <w:textAlignment w:val="bottom"/>
        <w:rPr>
          <w:rFonts w:hint="eastAsia" w:ascii="宋体" w:hAnsi="宋体" w:cs="宋体"/>
          <w:szCs w:val="21"/>
        </w:rPr>
      </w:pPr>
      <w:r>
        <w:rPr>
          <w:rFonts w:hint="eastAsia" w:ascii="宋体" w:hAnsi="宋体" w:cs="宋体"/>
          <w:szCs w:val="21"/>
        </w:rPr>
        <w:t>JB/T 10181 电缆载流量计算</w:t>
      </w:r>
    </w:p>
    <w:p w14:paraId="00EAD9DD">
      <w:pPr>
        <w:spacing w:line="353" w:lineRule="auto"/>
        <w:ind w:firstLine="86" w:firstLineChars="41"/>
        <w:textAlignment w:val="bottom"/>
        <w:rPr>
          <w:rFonts w:hint="eastAsia" w:ascii="宋体" w:hAnsi="宋体" w:cs="宋体"/>
          <w:szCs w:val="21"/>
        </w:rPr>
      </w:pPr>
      <w:r>
        <w:rPr>
          <w:rFonts w:hint="eastAsia" w:ascii="宋体" w:hAnsi="宋体" w:cs="宋体"/>
          <w:szCs w:val="21"/>
        </w:rPr>
        <w:t>IEC 60183 高压电缆选择导则</w:t>
      </w:r>
    </w:p>
    <w:p w14:paraId="293910FC">
      <w:pPr>
        <w:spacing w:line="353" w:lineRule="auto"/>
        <w:ind w:firstLine="86" w:firstLineChars="41"/>
        <w:textAlignment w:val="bottom"/>
        <w:rPr>
          <w:rFonts w:hint="eastAsia" w:ascii="宋体" w:hAnsi="宋体" w:cs="宋体"/>
          <w:szCs w:val="21"/>
        </w:rPr>
      </w:pPr>
      <w:r>
        <w:rPr>
          <w:rFonts w:hint="eastAsia" w:ascii="宋体" w:hAnsi="宋体" w:cs="宋体"/>
          <w:szCs w:val="21"/>
        </w:rPr>
        <w:t>IEC 60287 有关电缆载流量计算的标准</w:t>
      </w:r>
    </w:p>
    <w:p w14:paraId="048003D4">
      <w:pPr>
        <w:spacing w:line="353" w:lineRule="auto"/>
        <w:ind w:firstLine="86" w:firstLineChars="41"/>
        <w:textAlignment w:val="bottom"/>
        <w:rPr>
          <w:rFonts w:hint="eastAsia" w:ascii="宋体" w:hAnsi="宋体" w:cs="宋体"/>
          <w:szCs w:val="21"/>
        </w:rPr>
      </w:pPr>
      <w:r>
        <w:rPr>
          <w:rFonts w:hint="eastAsia" w:ascii="宋体" w:hAnsi="宋体" w:cs="宋体"/>
          <w:szCs w:val="21"/>
        </w:rPr>
        <w:t>IEC 60332 电缆在着火条件下的试验</w:t>
      </w:r>
    </w:p>
    <w:p w14:paraId="681AC74E">
      <w:pPr>
        <w:spacing w:line="353" w:lineRule="auto"/>
        <w:ind w:firstLine="86" w:firstLineChars="41"/>
        <w:textAlignment w:val="bottom"/>
        <w:rPr>
          <w:rFonts w:hint="eastAsia" w:ascii="宋体" w:hAnsi="宋体" w:cs="宋体"/>
          <w:szCs w:val="21"/>
        </w:rPr>
      </w:pPr>
      <w:r>
        <w:rPr>
          <w:rFonts w:hint="eastAsia" w:ascii="宋体" w:hAnsi="宋体" w:cs="宋体"/>
          <w:szCs w:val="21"/>
        </w:rPr>
        <w:t>额定电压1kV（Um=1.2kV）到30kV（Um=36kV）挤包绝缘电力电缆及其附件</w:t>
      </w:r>
    </w:p>
    <w:p w14:paraId="31E0CD43">
      <w:pPr>
        <w:spacing w:line="353" w:lineRule="auto"/>
        <w:ind w:firstLine="86" w:firstLineChars="41"/>
        <w:textAlignment w:val="bottom"/>
        <w:rPr>
          <w:rFonts w:hint="eastAsia" w:ascii="宋体" w:hAnsi="宋体" w:cs="宋体"/>
          <w:szCs w:val="21"/>
        </w:rPr>
      </w:pPr>
      <w:r>
        <w:rPr>
          <w:rFonts w:hint="eastAsia" w:ascii="宋体" w:hAnsi="宋体" w:cs="宋体"/>
          <w:szCs w:val="21"/>
        </w:rPr>
        <w:t>IEC 60754 电缆燃烧放出的气体的试验</w:t>
      </w:r>
    </w:p>
    <w:p w14:paraId="4B86AF9A">
      <w:pPr>
        <w:spacing w:line="353" w:lineRule="auto"/>
        <w:ind w:firstLine="86" w:firstLineChars="41"/>
        <w:textAlignment w:val="bottom"/>
        <w:rPr>
          <w:rFonts w:hint="eastAsia" w:ascii="宋体" w:hAnsi="宋体" w:cs="宋体"/>
          <w:szCs w:val="21"/>
        </w:rPr>
      </w:pPr>
      <w:r>
        <w:rPr>
          <w:rFonts w:hint="eastAsia" w:ascii="宋体" w:hAnsi="宋体" w:cs="宋体"/>
          <w:szCs w:val="21"/>
        </w:rPr>
        <w:t>IEC 61034 在规定条件下燃烧的电缆的烟密度的测量</w:t>
      </w:r>
    </w:p>
    <w:p w14:paraId="119F1335">
      <w:pPr>
        <w:spacing w:line="353" w:lineRule="auto"/>
        <w:ind w:firstLine="86" w:firstLineChars="41"/>
        <w:textAlignment w:val="bottom"/>
        <w:rPr>
          <w:rFonts w:hint="eastAsia" w:ascii="宋体" w:hAnsi="宋体" w:cs="宋体"/>
          <w:szCs w:val="21"/>
        </w:rPr>
      </w:pPr>
      <w:r>
        <w:rPr>
          <w:rFonts w:hint="eastAsia" w:ascii="宋体" w:hAnsi="宋体" w:cs="宋体"/>
          <w:szCs w:val="21"/>
        </w:rPr>
        <w:t>2.工程条件</w:t>
      </w:r>
    </w:p>
    <w:p w14:paraId="001645FA">
      <w:pPr>
        <w:spacing w:line="353" w:lineRule="auto"/>
        <w:ind w:firstLine="86" w:firstLineChars="41"/>
        <w:textAlignment w:val="bottom"/>
        <w:rPr>
          <w:rFonts w:hint="eastAsia" w:ascii="宋体" w:hAnsi="宋体" w:cs="宋体"/>
          <w:szCs w:val="21"/>
        </w:rPr>
      </w:pPr>
      <w:r>
        <w:rPr>
          <w:rFonts w:hint="eastAsia" w:ascii="宋体" w:hAnsi="宋体" w:cs="宋体"/>
          <w:szCs w:val="21"/>
        </w:rPr>
        <w:t>2.1.1 周围空气温度</w:t>
      </w:r>
    </w:p>
    <w:p w14:paraId="4DDF83A6">
      <w:pPr>
        <w:spacing w:line="353" w:lineRule="auto"/>
        <w:ind w:firstLine="699" w:firstLineChars="333"/>
        <w:textAlignment w:val="bottom"/>
        <w:rPr>
          <w:rFonts w:hint="eastAsia" w:ascii="宋体" w:hAnsi="宋体" w:cs="宋体"/>
          <w:szCs w:val="21"/>
        </w:rPr>
      </w:pPr>
      <w:r>
        <w:rPr>
          <w:rFonts w:hint="eastAsia" w:ascii="宋体" w:hAnsi="宋体" w:cs="宋体"/>
          <w:szCs w:val="21"/>
        </w:rPr>
        <w:t>极端最高气温：37℃</w:t>
      </w:r>
    </w:p>
    <w:p w14:paraId="2F97A3B0">
      <w:pPr>
        <w:spacing w:line="353" w:lineRule="auto"/>
        <w:ind w:firstLine="699" w:firstLineChars="333"/>
        <w:textAlignment w:val="bottom"/>
        <w:rPr>
          <w:rFonts w:hint="eastAsia" w:ascii="宋体" w:hAnsi="宋体" w:cs="宋体"/>
          <w:szCs w:val="21"/>
        </w:rPr>
      </w:pPr>
      <w:r>
        <w:rPr>
          <w:rFonts w:hint="eastAsia" w:ascii="宋体" w:hAnsi="宋体" w:cs="宋体"/>
          <w:szCs w:val="21"/>
        </w:rPr>
        <w:t>极端最低气温：-11℃</w:t>
      </w:r>
    </w:p>
    <w:p w14:paraId="255A559B">
      <w:pPr>
        <w:spacing w:line="353" w:lineRule="auto"/>
        <w:ind w:firstLine="699" w:firstLineChars="333"/>
        <w:textAlignment w:val="bottom"/>
        <w:rPr>
          <w:rFonts w:hint="eastAsia" w:ascii="宋体" w:hAnsi="宋体" w:cs="宋体"/>
          <w:szCs w:val="21"/>
        </w:rPr>
      </w:pPr>
      <w:r>
        <w:rPr>
          <w:rFonts w:hint="eastAsia" w:ascii="宋体" w:hAnsi="宋体" w:cs="宋体"/>
          <w:szCs w:val="21"/>
        </w:rPr>
        <w:t>历年平均气温：14.7℃</w:t>
      </w:r>
    </w:p>
    <w:p w14:paraId="7710C374">
      <w:pPr>
        <w:spacing w:line="353" w:lineRule="auto"/>
        <w:ind w:firstLine="86" w:firstLineChars="41"/>
        <w:textAlignment w:val="bottom"/>
        <w:rPr>
          <w:rFonts w:hint="eastAsia" w:ascii="宋体" w:hAnsi="宋体" w:cs="宋体"/>
          <w:szCs w:val="21"/>
        </w:rPr>
      </w:pPr>
      <w:r>
        <w:rPr>
          <w:rFonts w:hint="eastAsia" w:ascii="宋体" w:hAnsi="宋体" w:cs="宋体"/>
          <w:szCs w:val="21"/>
        </w:rPr>
        <w:t>2.1.2 每年平均降水量：900mm</w:t>
      </w:r>
    </w:p>
    <w:p w14:paraId="10C8E370">
      <w:pPr>
        <w:spacing w:line="353" w:lineRule="auto"/>
        <w:ind w:firstLine="86" w:firstLineChars="41"/>
        <w:textAlignment w:val="bottom"/>
        <w:rPr>
          <w:rFonts w:hint="eastAsia" w:ascii="宋体" w:hAnsi="宋体" w:cs="宋体"/>
          <w:szCs w:val="21"/>
        </w:rPr>
      </w:pPr>
      <w:r>
        <w:rPr>
          <w:rFonts w:hint="eastAsia" w:ascii="宋体" w:hAnsi="宋体" w:cs="宋体"/>
          <w:szCs w:val="21"/>
        </w:rPr>
        <w:t>2.1.3 多年平均相对湿度：70％</w:t>
      </w:r>
    </w:p>
    <w:p w14:paraId="2E2E4488">
      <w:pPr>
        <w:spacing w:line="353" w:lineRule="auto"/>
        <w:ind w:firstLine="86" w:firstLineChars="41"/>
        <w:textAlignment w:val="bottom"/>
        <w:rPr>
          <w:rFonts w:hint="eastAsia" w:ascii="宋体" w:hAnsi="宋体" w:cs="宋体"/>
          <w:szCs w:val="21"/>
        </w:rPr>
      </w:pPr>
      <w:r>
        <w:rPr>
          <w:rFonts w:hint="eastAsia" w:ascii="宋体" w:hAnsi="宋体" w:cs="宋体"/>
          <w:szCs w:val="21"/>
        </w:rPr>
        <w:t>2.1.4 海拔高度：小于1000m</w:t>
      </w:r>
    </w:p>
    <w:p w14:paraId="6E82504C">
      <w:pPr>
        <w:spacing w:line="353" w:lineRule="auto"/>
        <w:ind w:firstLine="86" w:firstLineChars="41"/>
        <w:textAlignment w:val="bottom"/>
        <w:rPr>
          <w:rFonts w:hint="eastAsia" w:ascii="宋体" w:hAnsi="宋体" w:cs="宋体"/>
          <w:szCs w:val="21"/>
        </w:rPr>
      </w:pPr>
      <w:r>
        <w:rPr>
          <w:rFonts w:hint="eastAsia" w:ascii="宋体" w:hAnsi="宋体" w:cs="宋体"/>
          <w:szCs w:val="21"/>
        </w:rPr>
        <w:t>2.1.5 污秽等级：IV级</w:t>
      </w:r>
    </w:p>
    <w:p w14:paraId="0840C7E8">
      <w:pPr>
        <w:spacing w:line="353" w:lineRule="auto"/>
        <w:ind w:firstLine="86" w:firstLineChars="41"/>
        <w:textAlignment w:val="bottom"/>
        <w:rPr>
          <w:rFonts w:hint="eastAsia" w:ascii="宋体" w:hAnsi="宋体" w:cs="宋体"/>
          <w:szCs w:val="21"/>
        </w:rPr>
      </w:pPr>
      <w:r>
        <w:rPr>
          <w:rFonts w:hint="eastAsia" w:ascii="宋体" w:hAnsi="宋体" w:cs="宋体"/>
          <w:szCs w:val="21"/>
        </w:rPr>
        <w:t>2.1.6 安装现场基本地震烈度：8度</w:t>
      </w:r>
    </w:p>
    <w:p w14:paraId="491DFC47">
      <w:pPr>
        <w:spacing w:line="353" w:lineRule="auto"/>
        <w:ind w:firstLine="0" w:firstLineChars="0"/>
        <w:rPr>
          <w:rFonts w:hint="eastAsia" w:ascii="宋体" w:hAnsi="宋体" w:cs="宋体"/>
          <w:b/>
          <w:szCs w:val="21"/>
        </w:rPr>
      </w:pPr>
      <w:r>
        <w:rPr>
          <w:rFonts w:hint="eastAsia" w:ascii="宋体" w:hAnsi="宋体" w:cs="宋体"/>
          <w:b/>
          <w:szCs w:val="21"/>
        </w:rPr>
        <w:t>三、电缆的一般要求</w:t>
      </w:r>
    </w:p>
    <w:p w14:paraId="1F77A7A8">
      <w:pPr>
        <w:numPr>
          <w:ilvl w:val="2"/>
          <w:numId w:val="0"/>
        </w:numPr>
        <w:tabs>
          <w:tab w:val="left" w:pos="0"/>
          <w:tab w:val="left" w:pos="1644"/>
        </w:tabs>
        <w:snapToGrid w:val="0"/>
        <w:spacing w:line="353" w:lineRule="auto"/>
        <w:rPr>
          <w:rFonts w:hint="eastAsia" w:ascii="宋体" w:hAnsi="宋体" w:cs="宋体"/>
          <w:spacing w:val="2"/>
          <w:szCs w:val="21"/>
        </w:rPr>
      </w:pPr>
      <w:r>
        <w:rPr>
          <w:rFonts w:hint="eastAsia" w:ascii="宋体" w:hAnsi="宋体" w:cs="宋体"/>
          <w:szCs w:val="21"/>
        </w:rPr>
        <w:t>3.1 谈判方产品在国内、国际具有多年成功应用业绩，无不良使用和售后服务记录。</w:t>
      </w:r>
    </w:p>
    <w:p w14:paraId="5C8310EC">
      <w:pPr>
        <w:numPr>
          <w:ilvl w:val="2"/>
          <w:numId w:val="0"/>
        </w:numPr>
        <w:tabs>
          <w:tab w:val="left" w:pos="0"/>
          <w:tab w:val="left" w:pos="1644"/>
        </w:tabs>
        <w:snapToGrid w:val="0"/>
        <w:spacing w:line="353" w:lineRule="auto"/>
        <w:rPr>
          <w:rFonts w:hint="eastAsia" w:ascii="宋体" w:hAnsi="宋体" w:cs="宋体"/>
          <w:spacing w:val="2"/>
          <w:szCs w:val="21"/>
        </w:rPr>
      </w:pPr>
      <w:r>
        <w:rPr>
          <w:rFonts w:hint="eastAsia" w:ascii="宋体" w:hAnsi="宋体" w:cs="宋体"/>
          <w:szCs w:val="21"/>
        </w:rPr>
        <w:t>3.2 谈判方产品是全新的，持久耐用的，即使在本标书中没有明显地提出，也满足作为一个完整产品所能满足的全部要求。</w:t>
      </w:r>
    </w:p>
    <w:p w14:paraId="322AAA5F">
      <w:pPr>
        <w:numPr>
          <w:ilvl w:val="2"/>
          <w:numId w:val="0"/>
        </w:numPr>
        <w:tabs>
          <w:tab w:val="left" w:pos="0"/>
          <w:tab w:val="left" w:pos="1644"/>
        </w:tabs>
        <w:snapToGrid w:val="0"/>
        <w:spacing w:line="353" w:lineRule="auto"/>
        <w:rPr>
          <w:rFonts w:hint="eastAsia" w:ascii="宋体" w:hAnsi="宋体" w:cs="宋体"/>
          <w:szCs w:val="21"/>
        </w:rPr>
      </w:pPr>
      <w:r>
        <w:rPr>
          <w:rFonts w:hint="eastAsia" w:ascii="宋体" w:hAnsi="宋体" w:cs="宋体"/>
          <w:szCs w:val="21"/>
        </w:rPr>
        <w:t>3.3 谈判方所提供的电缆的技术规范条件按照国家相关标准和电力行业的有关技术规范标准及图纸设计要求执行。</w:t>
      </w:r>
    </w:p>
    <w:p w14:paraId="589EAF0C">
      <w:pPr>
        <w:tabs>
          <w:tab w:val="left" w:pos="0"/>
        </w:tabs>
        <w:spacing w:line="353" w:lineRule="auto"/>
        <w:ind w:firstLine="0" w:firstLineChars="0"/>
        <w:rPr>
          <w:rFonts w:hint="eastAsia" w:ascii="宋体" w:hAnsi="宋体" w:cs="宋体"/>
          <w:bCs/>
          <w:szCs w:val="21"/>
        </w:rPr>
      </w:pPr>
      <w:r>
        <w:rPr>
          <w:rFonts w:hint="eastAsia" w:ascii="宋体" w:hAnsi="宋体" w:cs="宋体"/>
          <w:szCs w:val="21"/>
        </w:rPr>
        <w:t>3.5 谈判方所提供的电缆交货前对其质量、规格、性能、数量等进</w:t>
      </w:r>
      <w:r>
        <w:rPr>
          <w:rFonts w:hint="eastAsia" w:ascii="宋体" w:hAnsi="宋体" w:cs="宋体"/>
          <w:bCs/>
          <w:szCs w:val="21"/>
        </w:rPr>
        <w:t>行全面认真检验，并按规定提供合格证、出厂检验报告等资料。</w:t>
      </w:r>
    </w:p>
    <w:p w14:paraId="2F09D59E">
      <w:pPr>
        <w:spacing w:line="353" w:lineRule="auto"/>
        <w:ind w:firstLine="0" w:firstLineChars="0"/>
        <w:rPr>
          <w:rFonts w:hint="eastAsia" w:ascii="宋体" w:hAnsi="宋体" w:cs="宋体"/>
          <w:b/>
          <w:bCs/>
          <w:spacing w:val="2"/>
          <w:szCs w:val="21"/>
        </w:rPr>
      </w:pPr>
      <w:r>
        <w:rPr>
          <w:rFonts w:hint="eastAsia" w:ascii="宋体" w:hAnsi="宋体" w:cs="宋体"/>
          <w:b/>
          <w:bCs/>
          <w:spacing w:val="2"/>
          <w:szCs w:val="21"/>
        </w:rPr>
        <w:t>四、电力电缆出厂及包装、运输</w:t>
      </w:r>
    </w:p>
    <w:p w14:paraId="0ED7A65F">
      <w:pPr>
        <w:spacing w:line="353" w:lineRule="auto"/>
        <w:ind w:firstLine="0" w:firstLineChars="0"/>
        <w:rPr>
          <w:rFonts w:hint="eastAsia" w:ascii="宋体" w:hAnsi="宋体" w:cs="宋体"/>
          <w:szCs w:val="21"/>
        </w:rPr>
      </w:pPr>
      <w:r>
        <w:rPr>
          <w:rFonts w:hint="eastAsia" w:ascii="宋体" w:hAnsi="宋体" w:cs="宋体"/>
          <w:szCs w:val="21"/>
        </w:rPr>
        <w:t>4.1 成品电缆的外护套表面应连续印有电缆型号、规格、厂名、制造年月和长度标志。不得采用凹印。标志应字迹清楚，容易辨认，耐擦。并符合GB6995.3规定。</w:t>
      </w:r>
    </w:p>
    <w:p w14:paraId="3FE3DD28">
      <w:pPr>
        <w:spacing w:line="353" w:lineRule="auto"/>
        <w:ind w:firstLine="0" w:firstLineChars="0"/>
        <w:rPr>
          <w:rFonts w:hint="eastAsia" w:ascii="宋体" w:hAnsi="宋体" w:cs="宋体"/>
          <w:szCs w:val="21"/>
        </w:rPr>
      </w:pPr>
      <w:r>
        <w:rPr>
          <w:rFonts w:hint="eastAsia" w:ascii="宋体" w:hAnsi="宋体" w:cs="宋体"/>
          <w:szCs w:val="21"/>
        </w:rPr>
        <w:t>4.2 电缆在运输装卸过程中，不应使电缆及电缆盘受到损伤，严禁将电缆盘直接由车上推下。电缆盘不应平放运输、平放贮存。</w:t>
      </w:r>
    </w:p>
    <w:p w14:paraId="727BBA26">
      <w:pPr>
        <w:spacing w:line="353" w:lineRule="auto"/>
        <w:ind w:firstLine="0" w:firstLineChars="0"/>
        <w:rPr>
          <w:rFonts w:hint="eastAsia" w:ascii="宋体" w:hAnsi="宋体" w:cs="宋体"/>
          <w:szCs w:val="21"/>
        </w:rPr>
      </w:pPr>
      <w:r>
        <w:rPr>
          <w:rFonts w:hint="eastAsia" w:ascii="宋体" w:hAnsi="宋体" w:cs="宋体"/>
          <w:szCs w:val="21"/>
        </w:rPr>
        <w:t>4.3 运输或滚动电缆盘前，保证电缆盘牢固、电缆绕紧，滚动时必须顺差电缆盘上的箭头指示或电缆的缠紧方向。</w:t>
      </w:r>
    </w:p>
    <w:p w14:paraId="7CDAF532">
      <w:pPr>
        <w:spacing w:line="353" w:lineRule="auto"/>
        <w:ind w:firstLine="0" w:firstLineChars="0"/>
        <w:rPr>
          <w:rFonts w:hint="eastAsia" w:ascii="宋体" w:hAnsi="宋体" w:cs="宋体"/>
          <w:szCs w:val="21"/>
        </w:rPr>
      </w:pPr>
      <w:r>
        <w:rPr>
          <w:rFonts w:hint="eastAsia" w:ascii="宋体" w:hAnsi="宋体" w:cs="宋体"/>
          <w:szCs w:val="21"/>
        </w:rPr>
        <w:t xml:space="preserve">4.4 </w:t>
      </w:r>
      <w:r>
        <w:rPr>
          <w:rFonts w:hint="eastAsia" w:ascii="宋体" w:hAnsi="宋体" w:cs="宋体"/>
          <w:b/>
          <w:szCs w:val="21"/>
        </w:rPr>
        <w:t>电缆盘上缠绕电缆的长度，应提前跟采购方确认。</w:t>
      </w:r>
    </w:p>
    <w:p w14:paraId="61336316">
      <w:pPr>
        <w:spacing w:line="353" w:lineRule="auto"/>
        <w:ind w:firstLine="0" w:firstLineChars="0"/>
        <w:rPr>
          <w:rFonts w:hint="eastAsia" w:ascii="宋体" w:hAnsi="宋体" w:cs="宋体"/>
          <w:szCs w:val="21"/>
        </w:rPr>
      </w:pPr>
      <w:r>
        <w:rPr>
          <w:rFonts w:hint="eastAsia" w:ascii="宋体" w:hAnsi="宋体" w:cs="宋体"/>
          <w:szCs w:val="21"/>
        </w:rPr>
        <w:t>4.5 密封和卷盘：电缆工厂试验后，其两端立即密封以避免潮气及污秽及昆虫进入。电缆卷盘有适当保护以避免吊装及运输过程中的机械损伤。电缆的电压，长度，导体截面，芯数，重量及净重等清楚标识在电缆盘上。电缆盘的卷绕方向用箭头表示</w:t>
      </w:r>
    </w:p>
    <w:p w14:paraId="1FF143E8">
      <w:pPr>
        <w:spacing w:line="353" w:lineRule="auto"/>
        <w:ind w:firstLine="0" w:firstLineChars="0"/>
        <w:rPr>
          <w:rFonts w:hint="eastAsia" w:ascii="宋体" w:hAnsi="宋体" w:cs="宋体"/>
          <w:szCs w:val="21"/>
        </w:rPr>
      </w:pPr>
      <w:r>
        <w:rPr>
          <w:rFonts w:hint="eastAsia" w:ascii="宋体" w:hAnsi="宋体" w:cs="宋体"/>
          <w:szCs w:val="21"/>
        </w:rPr>
        <w:t>4.6 电缆卷在电缆盘上，电缆伸出侧板一定长度，电缆终端密封良好。</w:t>
      </w:r>
    </w:p>
    <w:p w14:paraId="2576EF7B">
      <w:pPr>
        <w:spacing w:line="353" w:lineRule="auto"/>
        <w:ind w:firstLine="0" w:firstLineChars="0"/>
        <w:rPr>
          <w:rFonts w:hint="eastAsia" w:ascii="宋体" w:hAnsi="宋体" w:cs="宋体"/>
          <w:bCs/>
          <w:szCs w:val="21"/>
        </w:rPr>
      </w:pPr>
      <w:r>
        <w:rPr>
          <w:rFonts w:hint="eastAsia" w:ascii="宋体" w:hAnsi="宋体" w:cs="宋体"/>
          <w:bCs/>
          <w:szCs w:val="21"/>
        </w:rPr>
        <w:t>4.7 电缆必须严格包装，以确保在运输和保管期间不被损坏，并防止受潮。</w:t>
      </w:r>
    </w:p>
    <w:p w14:paraId="48E1487C">
      <w:pPr>
        <w:spacing w:line="353" w:lineRule="auto"/>
        <w:ind w:firstLine="0" w:firstLineChars="0"/>
        <w:rPr>
          <w:rFonts w:hint="eastAsia" w:ascii="宋体" w:hAnsi="宋体" w:cs="宋体"/>
          <w:bCs/>
          <w:szCs w:val="21"/>
        </w:rPr>
      </w:pPr>
      <w:r>
        <w:rPr>
          <w:rFonts w:hint="eastAsia" w:ascii="宋体" w:hAnsi="宋体" w:cs="宋体"/>
          <w:bCs/>
          <w:szCs w:val="21"/>
        </w:rPr>
        <w:t>4.8 所有外露部分有保护装置，防止在运输和储存期间损坏，所有电缆端头均有封堵。</w:t>
      </w:r>
    </w:p>
    <w:p w14:paraId="723DDBC4">
      <w:pPr>
        <w:spacing w:line="353" w:lineRule="auto"/>
        <w:ind w:firstLine="0" w:firstLineChars="0"/>
        <w:rPr>
          <w:rFonts w:hint="eastAsia" w:ascii="宋体" w:hAnsi="宋体" w:cs="宋体"/>
          <w:bCs/>
          <w:szCs w:val="21"/>
        </w:rPr>
      </w:pPr>
      <w:r>
        <w:rPr>
          <w:rFonts w:hint="eastAsia" w:ascii="宋体" w:hAnsi="宋体" w:cs="宋体"/>
          <w:bCs/>
          <w:szCs w:val="21"/>
        </w:rPr>
        <w:t>4.9 产品包装、运输、储存符合本技术规范的有关规定和国家规定。</w:t>
      </w:r>
    </w:p>
    <w:p w14:paraId="56467CD6">
      <w:pPr>
        <w:spacing w:line="353" w:lineRule="auto"/>
        <w:ind w:firstLine="0" w:firstLineChars="0"/>
        <w:rPr>
          <w:rFonts w:hint="eastAsia" w:ascii="宋体" w:hAnsi="宋体" w:cs="宋体"/>
          <w:b/>
          <w:szCs w:val="21"/>
        </w:rPr>
      </w:pPr>
      <w:r>
        <w:rPr>
          <w:rFonts w:hint="eastAsia" w:ascii="宋体" w:hAnsi="宋体" w:cs="宋体"/>
          <w:b/>
          <w:szCs w:val="21"/>
        </w:rPr>
        <w:t>五、供货范围</w:t>
      </w:r>
    </w:p>
    <w:p w14:paraId="55F60AA2">
      <w:pPr>
        <w:spacing w:line="353" w:lineRule="auto"/>
        <w:ind w:firstLine="0" w:firstLineChars="0"/>
        <w:rPr>
          <w:rFonts w:hint="eastAsia" w:ascii="宋体" w:hAnsi="宋体" w:cs="宋体"/>
          <w:szCs w:val="21"/>
        </w:rPr>
      </w:pPr>
      <w:r>
        <w:rPr>
          <w:rFonts w:hint="eastAsia" w:ascii="宋体" w:hAnsi="宋体" w:cs="宋体"/>
          <w:szCs w:val="21"/>
        </w:rPr>
        <w:t>5.1 本技术规范规定了合同设备的供货范围。</w:t>
      </w:r>
    </w:p>
    <w:p w14:paraId="44764A68">
      <w:pPr>
        <w:spacing w:line="353" w:lineRule="auto"/>
        <w:ind w:firstLine="0" w:firstLineChars="0"/>
        <w:rPr>
          <w:rFonts w:hint="eastAsia" w:ascii="宋体" w:hAnsi="宋体" w:cs="宋体"/>
          <w:szCs w:val="21"/>
        </w:rPr>
      </w:pPr>
      <w:r>
        <w:rPr>
          <w:rFonts w:hint="eastAsia" w:ascii="宋体" w:hAnsi="宋体" w:cs="宋体"/>
          <w:szCs w:val="21"/>
        </w:rPr>
        <w:t>5.2 谈判方提供详细供货清单，清单中依次说明型号、数量、产地、生产厂家等内容，更重要的是给采购方供货产品要分类包装，写明用处、地点、数量、名称，并根据要求送货到指定的现场。</w:t>
      </w:r>
    </w:p>
    <w:p w14:paraId="6540C6CF">
      <w:pPr>
        <w:spacing w:line="353" w:lineRule="auto"/>
        <w:ind w:firstLine="0" w:firstLineChars="0"/>
        <w:rPr>
          <w:rFonts w:hint="eastAsia" w:ascii="宋体" w:hAnsi="宋体" w:cs="宋体"/>
          <w:szCs w:val="21"/>
        </w:rPr>
      </w:pPr>
      <w:r>
        <w:rPr>
          <w:rFonts w:hint="eastAsia" w:ascii="宋体" w:hAnsi="宋体" w:cs="宋体"/>
          <w:szCs w:val="21"/>
        </w:rPr>
        <w:t>5.3 谈判方提供采购方工程所需的备品备件，谈判方给出具体清单，并承诺如有不足，将及时补足。</w:t>
      </w:r>
    </w:p>
    <w:p w14:paraId="3FC0A281">
      <w:pPr>
        <w:spacing w:line="353" w:lineRule="auto"/>
        <w:ind w:firstLine="0" w:firstLineChars="0"/>
        <w:rPr>
          <w:rFonts w:hint="eastAsia" w:ascii="宋体" w:hAnsi="宋体" w:cs="宋体"/>
          <w:b/>
          <w:szCs w:val="21"/>
        </w:rPr>
      </w:pPr>
      <w:r>
        <w:rPr>
          <w:rFonts w:hint="eastAsia" w:ascii="宋体" w:hAnsi="宋体" w:cs="宋体"/>
          <w:b/>
          <w:szCs w:val="21"/>
        </w:rPr>
        <w:t>六、电缆技术参数及制造技术规范</w:t>
      </w:r>
    </w:p>
    <w:p w14:paraId="3BFAA147">
      <w:pPr>
        <w:spacing w:line="353" w:lineRule="auto"/>
        <w:ind w:firstLine="0" w:firstLineChars="0"/>
        <w:rPr>
          <w:rFonts w:hint="eastAsia" w:ascii="宋体" w:hAnsi="宋体" w:cs="宋体"/>
          <w:szCs w:val="21"/>
        </w:rPr>
      </w:pPr>
      <w:r>
        <w:rPr>
          <w:rFonts w:hint="eastAsia" w:ascii="宋体" w:hAnsi="宋体" w:cs="宋体"/>
          <w:szCs w:val="21"/>
        </w:rPr>
        <w:t>6.1 电缆技术参数说明</w:t>
      </w:r>
    </w:p>
    <w:p w14:paraId="6443E0DB">
      <w:pPr>
        <w:spacing w:line="353" w:lineRule="auto"/>
        <w:ind w:firstLine="0" w:firstLineChars="0"/>
        <w:rPr>
          <w:rFonts w:hint="eastAsia" w:ascii="宋体" w:hAnsi="宋体" w:cs="宋体"/>
          <w:szCs w:val="21"/>
        </w:rPr>
      </w:pPr>
      <w:r>
        <w:rPr>
          <w:rFonts w:hint="eastAsia" w:ascii="宋体" w:hAnsi="宋体" w:cs="宋体"/>
          <w:szCs w:val="21"/>
        </w:rPr>
        <w:t>1) 高压电缆</w:t>
      </w:r>
    </w:p>
    <w:p w14:paraId="3EC98209">
      <w:pPr>
        <w:spacing w:line="353" w:lineRule="auto"/>
        <w:ind w:firstLine="348" w:firstLineChars="166"/>
        <w:rPr>
          <w:rFonts w:hint="eastAsia" w:ascii="宋体" w:hAnsi="宋体" w:cs="宋体"/>
          <w:szCs w:val="21"/>
        </w:rPr>
      </w:pPr>
      <w:r>
        <w:rPr>
          <w:rFonts w:hint="eastAsia" w:ascii="宋体" w:hAnsi="宋体" w:cs="宋体"/>
          <w:szCs w:val="21"/>
        </w:rPr>
        <w:t>额定工作电压: Uo/U                     8.7/10kV</w:t>
      </w:r>
    </w:p>
    <w:p w14:paraId="0BCC26A8">
      <w:pPr>
        <w:spacing w:line="353" w:lineRule="auto"/>
        <w:ind w:firstLine="348" w:firstLineChars="166"/>
        <w:rPr>
          <w:rFonts w:hint="eastAsia" w:ascii="宋体" w:hAnsi="宋体" w:cs="宋体"/>
          <w:szCs w:val="21"/>
        </w:rPr>
      </w:pPr>
      <w:r>
        <w:rPr>
          <w:rFonts w:hint="eastAsia" w:ascii="宋体" w:hAnsi="宋体" w:cs="宋体"/>
          <w:szCs w:val="21"/>
        </w:rPr>
        <w:t>最高工作电压：Um　　</w:t>
      </w:r>
      <w:r>
        <w:rPr>
          <w:rFonts w:hint="eastAsia" w:ascii="宋体" w:hAnsi="宋体" w:cs="宋体"/>
          <w:szCs w:val="21"/>
        </w:rPr>
        <w:tab/>
      </w:r>
      <w:r>
        <w:rPr>
          <w:rFonts w:hint="eastAsia" w:ascii="宋体" w:hAnsi="宋体" w:cs="宋体"/>
          <w:szCs w:val="21"/>
        </w:rPr>
        <w:t xml:space="preserve">                  12kV</w:t>
      </w:r>
    </w:p>
    <w:p w14:paraId="40E2D543">
      <w:pPr>
        <w:spacing w:line="353" w:lineRule="auto"/>
        <w:ind w:firstLine="348" w:firstLineChars="166"/>
        <w:rPr>
          <w:rFonts w:hint="eastAsia" w:ascii="宋体" w:hAnsi="宋体" w:cs="宋体"/>
          <w:szCs w:val="21"/>
        </w:rPr>
      </w:pPr>
      <w:r>
        <w:rPr>
          <w:rFonts w:hint="eastAsia" w:ascii="宋体" w:hAnsi="宋体" w:cs="宋体"/>
          <w:szCs w:val="21"/>
        </w:rPr>
        <w:t>额定频率：                             50Hz</w:t>
      </w:r>
    </w:p>
    <w:p w14:paraId="0F08439A">
      <w:pPr>
        <w:spacing w:line="353" w:lineRule="auto"/>
        <w:ind w:firstLine="315" w:firstLineChars="150"/>
        <w:rPr>
          <w:rFonts w:hint="eastAsia" w:ascii="宋体" w:hAnsi="宋体" w:cs="宋体"/>
          <w:szCs w:val="21"/>
        </w:rPr>
      </w:pPr>
      <w:r>
        <w:rPr>
          <w:rFonts w:hint="eastAsia" w:ascii="宋体" w:hAnsi="宋体" w:cs="宋体"/>
          <w:szCs w:val="21"/>
        </w:rPr>
        <w:t>导体与屏蔽或护套之间的额定电压（有效值）8.7kV</w:t>
      </w:r>
    </w:p>
    <w:p w14:paraId="2F3D0B0B">
      <w:pPr>
        <w:spacing w:line="353" w:lineRule="auto"/>
        <w:ind w:firstLine="315" w:firstLineChars="150"/>
        <w:rPr>
          <w:rFonts w:hint="eastAsia" w:ascii="宋体" w:hAnsi="宋体" w:cs="宋体"/>
          <w:szCs w:val="21"/>
        </w:rPr>
      </w:pPr>
      <w:r>
        <w:rPr>
          <w:rFonts w:hint="eastAsia" w:ascii="宋体" w:hAnsi="宋体" w:cs="宋体"/>
          <w:szCs w:val="21"/>
        </w:rPr>
        <w:t>任意两根导体间的最大工作电压            12kV</w:t>
      </w:r>
    </w:p>
    <w:p w14:paraId="648ECE1F">
      <w:pPr>
        <w:spacing w:line="353" w:lineRule="auto"/>
        <w:ind w:firstLine="315" w:firstLineChars="150"/>
        <w:rPr>
          <w:rFonts w:hint="eastAsia" w:ascii="宋体" w:hAnsi="宋体" w:cs="宋体"/>
          <w:szCs w:val="21"/>
        </w:rPr>
      </w:pPr>
      <w:r>
        <w:rPr>
          <w:rFonts w:hint="eastAsia" w:ascii="宋体" w:hAnsi="宋体" w:cs="宋体"/>
          <w:szCs w:val="21"/>
        </w:rPr>
        <w:t>成品电缆的工频耐受电压试验              22kV/5min</w:t>
      </w:r>
    </w:p>
    <w:p w14:paraId="2D1B4CC3">
      <w:pPr>
        <w:spacing w:line="353" w:lineRule="auto"/>
        <w:ind w:firstLine="348" w:firstLineChars="166"/>
        <w:rPr>
          <w:rFonts w:hint="eastAsia" w:ascii="宋体" w:hAnsi="宋体" w:cs="宋体"/>
          <w:szCs w:val="21"/>
        </w:rPr>
      </w:pPr>
      <w:r>
        <w:rPr>
          <w:rFonts w:hint="eastAsia" w:ascii="宋体" w:hAnsi="宋体" w:cs="宋体"/>
          <w:szCs w:val="21"/>
        </w:rPr>
        <w:t>导体材料                               无氧铜 纯度大于99.95%</w:t>
      </w:r>
    </w:p>
    <w:p w14:paraId="1C47E178">
      <w:pPr>
        <w:spacing w:line="353" w:lineRule="auto"/>
        <w:ind w:firstLine="348" w:firstLineChars="166"/>
        <w:rPr>
          <w:rFonts w:hint="eastAsia" w:ascii="宋体" w:hAnsi="宋体" w:cs="宋体"/>
          <w:szCs w:val="21"/>
        </w:rPr>
      </w:pPr>
      <w:r>
        <w:rPr>
          <w:rFonts w:hint="eastAsia" w:ascii="宋体" w:hAnsi="宋体" w:cs="宋体"/>
          <w:szCs w:val="21"/>
        </w:rPr>
        <w:t>绝缘材料                               10kV级可交联聚乙烯绝缘</w:t>
      </w:r>
    </w:p>
    <w:p w14:paraId="147D3C18">
      <w:pPr>
        <w:spacing w:line="353" w:lineRule="auto"/>
        <w:ind w:firstLine="348" w:firstLineChars="166"/>
        <w:rPr>
          <w:rFonts w:hint="eastAsia" w:ascii="宋体" w:hAnsi="宋体" w:cs="宋体"/>
          <w:szCs w:val="21"/>
        </w:rPr>
      </w:pPr>
      <w:r>
        <w:rPr>
          <w:rFonts w:hint="eastAsia" w:ascii="宋体" w:hAnsi="宋体" w:cs="宋体"/>
          <w:szCs w:val="21"/>
        </w:rPr>
        <w:t>铠装材料                               镀锌钢带</w:t>
      </w:r>
    </w:p>
    <w:p w14:paraId="1FAE19BD">
      <w:pPr>
        <w:spacing w:line="353" w:lineRule="auto"/>
        <w:ind w:firstLine="348" w:firstLineChars="166"/>
        <w:rPr>
          <w:rFonts w:hint="eastAsia" w:ascii="宋体" w:hAnsi="宋体" w:cs="宋体"/>
          <w:szCs w:val="21"/>
        </w:rPr>
      </w:pPr>
      <w:r>
        <w:rPr>
          <w:rFonts w:hint="eastAsia" w:ascii="宋体" w:hAnsi="宋体" w:cs="宋体"/>
          <w:szCs w:val="21"/>
        </w:rPr>
        <w:t>导体长期工作温度                       不低于90℃</w:t>
      </w:r>
    </w:p>
    <w:p w14:paraId="19E61B6A">
      <w:pPr>
        <w:spacing w:line="353" w:lineRule="auto"/>
        <w:ind w:firstLine="348" w:firstLineChars="166"/>
        <w:rPr>
          <w:rFonts w:hint="eastAsia" w:ascii="宋体" w:hAnsi="宋体" w:cs="宋体"/>
          <w:szCs w:val="21"/>
        </w:rPr>
      </w:pPr>
      <w:r>
        <w:rPr>
          <w:rFonts w:hint="eastAsia" w:ascii="宋体" w:hAnsi="宋体" w:cs="宋体"/>
          <w:szCs w:val="21"/>
        </w:rPr>
        <w:t>导体最大直流电阻（20℃）               符合GB/T3956标准规定</w:t>
      </w:r>
    </w:p>
    <w:p w14:paraId="19032191">
      <w:pPr>
        <w:spacing w:line="353" w:lineRule="auto"/>
        <w:ind w:firstLine="348" w:firstLineChars="166"/>
        <w:rPr>
          <w:rFonts w:hint="eastAsia" w:ascii="宋体" w:hAnsi="宋体" w:cs="宋体"/>
          <w:szCs w:val="21"/>
        </w:rPr>
      </w:pPr>
      <w:r>
        <w:rPr>
          <w:rFonts w:hint="eastAsia" w:ascii="宋体" w:hAnsi="宋体" w:cs="宋体"/>
          <w:szCs w:val="21"/>
        </w:rPr>
        <w:t>短路暂态工作温度                        250℃</w:t>
      </w:r>
    </w:p>
    <w:p w14:paraId="3DC07CE2">
      <w:pPr>
        <w:spacing w:line="353" w:lineRule="auto"/>
        <w:ind w:firstLine="0" w:firstLineChars="0"/>
        <w:rPr>
          <w:rFonts w:hint="eastAsia" w:ascii="宋体" w:hAnsi="宋体" w:cs="宋体"/>
          <w:szCs w:val="21"/>
        </w:rPr>
      </w:pPr>
      <w:r>
        <w:rPr>
          <w:rFonts w:hint="eastAsia" w:ascii="宋体" w:hAnsi="宋体" w:cs="宋体"/>
          <w:szCs w:val="21"/>
        </w:rPr>
        <w:t>2) 低压电缆</w:t>
      </w:r>
    </w:p>
    <w:p w14:paraId="4D04B4B5">
      <w:pPr>
        <w:spacing w:line="353" w:lineRule="auto"/>
        <w:ind w:firstLine="348" w:firstLineChars="166"/>
        <w:rPr>
          <w:rFonts w:hint="eastAsia" w:ascii="宋体" w:hAnsi="宋体" w:cs="宋体"/>
          <w:szCs w:val="21"/>
        </w:rPr>
      </w:pPr>
      <w:r>
        <w:rPr>
          <w:rFonts w:hint="eastAsia" w:ascii="宋体" w:hAnsi="宋体" w:cs="宋体"/>
          <w:szCs w:val="21"/>
        </w:rPr>
        <w:t>额定工作电压: Uo/U                     0.6/1kV</w:t>
      </w:r>
    </w:p>
    <w:p w14:paraId="3AAE0479">
      <w:pPr>
        <w:spacing w:line="353" w:lineRule="auto"/>
        <w:ind w:firstLine="348" w:firstLineChars="166"/>
        <w:rPr>
          <w:rFonts w:hint="eastAsia" w:ascii="宋体" w:hAnsi="宋体" w:cs="宋体"/>
          <w:szCs w:val="21"/>
        </w:rPr>
      </w:pPr>
      <w:r>
        <w:rPr>
          <w:rFonts w:hint="eastAsia" w:ascii="宋体" w:hAnsi="宋体" w:cs="宋体"/>
          <w:szCs w:val="21"/>
        </w:rPr>
        <w:t>额定频率：                             50Hz</w:t>
      </w:r>
    </w:p>
    <w:p w14:paraId="724B1AB7">
      <w:pPr>
        <w:spacing w:line="353" w:lineRule="auto"/>
        <w:ind w:firstLine="315" w:firstLineChars="150"/>
        <w:rPr>
          <w:rFonts w:hint="eastAsia" w:ascii="宋体" w:hAnsi="宋体" w:cs="宋体"/>
          <w:szCs w:val="21"/>
        </w:rPr>
      </w:pPr>
      <w:r>
        <w:rPr>
          <w:rFonts w:hint="eastAsia" w:ascii="宋体" w:hAnsi="宋体" w:cs="宋体"/>
          <w:szCs w:val="21"/>
        </w:rPr>
        <w:t>导体与屏蔽或护套之间的额定电压（有效值）0.6kV</w:t>
      </w:r>
    </w:p>
    <w:p w14:paraId="19B3E493">
      <w:pPr>
        <w:spacing w:line="353" w:lineRule="auto"/>
        <w:ind w:firstLine="315" w:firstLineChars="150"/>
        <w:rPr>
          <w:rFonts w:hint="eastAsia" w:ascii="宋体" w:hAnsi="宋体" w:cs="宋体"/>
          <w:szCs w:val="21"/>
        </w:rPr>
      </w:pPr>
      <w:r>
        <w:rPr>
          <w:rFonts w:hint="eastAsia" w:ascii="宋体" w:hAnsi="宋体" w:cs="宋体"/>
          <w:szCs w:val="21"/>
        </w:rPr>
        <w:t>任意两根导体间的最大工作电压            1kV</w:t>
      </w:r>
    </w:p>
    <w:p w14:paraId="0472215C">
      <w:pPr>
        <w:spacing w:line="353" w:lineRule="auto"/>
        <w:ind w:firstLine="315" w:firstLineChars="150"/>
        <w:rPr>
          <w:rFonts w:hint="eastAsia" w:ascii="宋体" w:hAnsi="宋体" w:cs="宋体"/>
          <w:szCs w:val="21"/>
        </w:rPr>
      </w:pPr>
      <w:r>
        <w:rPr>
          <w:rFonts w:hint="eastAsia" w:ascii="宋体" w:hAnsi="宋体" w:cs="宋体"/>
          <w:szCs w:val="21"/>
        </w:rPr>
        <w:t>成品电缆的工频耐受电压试验              3kV/5min</w:t>
      </w:r>
    </w:p>
    <w:p w14:paraId="59A8EFB1">
      <w:pPr>
        <w:spacing w:line="353" w:lineRule="auto"/>
        <w:ind w:firstLine="348" w:firstLineChars="166"/>
        <w:rPr>
          <w:rFonts w:hint="eastAsia" w:ascii="宋体" w:hAnsi="宋体" w:cs="宋体"/>
          <w:szCs w:val="21"/>
        </w:rPr>
      </w:pPr>
      <w:r>
        <w:rPr>
          <w:rFonts w:hint="eastAsia" w:ascii="宋体" w:hAnsi="宋体" w:cs="宋体"/>
          <w:szCs w:val="21"/>
        </w:rPr>
        <w:t>导体材料                               无氧铜 纯度大于99.95%</w:t>
      </w:r>
    </w:p>
    <w:p w14:paraId="00C0BBC8">
      <w:pPr>
        <w:spacing w:line="353" w:lineRule="auto"/>
        <w:ind w:firstLine="348" w:firstLineChars="166"/>
        <w:rPr>
          <w:rFonts w:hint="eastAsia" w:ascii="宋体" w:hAnsi="宋体" w:cs="宋体"/>
          <w:szCs w:val="21"/>
        </w:rPr>
      </w:pPr>
      <w:r>
        <w:rPr>
          <w:rFonts w:hint="eastAsia" w:ascii="宋体" w:hAnsi="宋体" w:cs="宋体"/>
          <w:szCs w:val="21"/>
        </w:rPr>
        <w:t>绝缘材料                               1kV级可交联聚乙烯绝缘</w:t>
      </w:r>
    </w:p>
    <w:p w14:paraId="3916169D">
      <w:pPr>
        <w:spacing w:line="353" w:lineRule="auto"/>
        <w:ind w:firstLine="348" w:firstLineChars="166"/>
        <w:rPr>
          <w:rFonts w:hint="eastAsia" w:ascii="宋体" w:hAnsi="宋体" w:cs="宋体"/>
          <w:szCs w:val="21"/>
        </w:rPr>
      </w:pPr>
      <w:r>
        <w:rPr>
          <w:rFonts w:hint="eastAsia" w:ascii="宋体" w:hAnsi="宋体" w:cs="宋体"/>
          <w:szCs w:val="21"/>
        </w:rPr>
        <w:t>铠装材料                               镀锌钢带</w:t>
      </w:r>
    </w:p>
    <w:p w14:paraId="00686651">
      <w:pPr>
        <w:spacing w:line="353" w:lineRule="auto"/>
        <w:ind w:firstLine="348" w:firstLineChars="166"/>
        <w:rPr>
          <w:rFonts w:hint="eastAsia" w:ascii="宋体" w:hAnsi="宋体" w:cs="宋体"/>
          <w:szCs w:val="21"/>
        </w:rPr>
      </w:pPr>
      <w:r>
        <w:rPr>
          <w:rFonts w:hint="eastAsia" w:ascii="宋体" w:hAnsi="宋体" w:cs="宋体"/>
          <w:szCs w:val="21"/>
        </w:rPr>
        <w:t>导体长期工作温度                       不低于90℃</w:t>
      </w:r>
    </w:p>
    <w:p w14:paraId="28A20F75">
      <w:pPr>
        <w:spacing w:line="353" w:lineRule="auto"/>
        <w:ind w:firstLine="348" w:firstLineChars="166"/>
        <w:rPr>
          <w:rFonts w:hint="eastAsia" w:ascii="宋体" w:hAnsi="宋体" w:cs="宋体"/>
          <w:szCs w:val="21"/>
        </w:rPr>
      </w:pPr>
      <w:r>
        <w:rPr>
          <w:rFonts w:hint="eastAsia" w:ascii="宋体" w:hAnsi="宋体" w:cs="宋体"/>
          <w:szCs w:val="21"/>
        </w:rPr>
        <w:t>导体最大直流电阻（20℃）               符合GB/T3956标准规定</w:t>
      </w:r>
    </w:p>
    <w:p w14:paraId="04F77C1A">
      <w:pPr>
        <w:spacing w:line="353" w:lineRule="auto"/>
        <w:ind w:firstLine="348" w:firstLineChars="166"/>
        <w:rPr>
          <w:rFonts w:hint="eastAsia" w:ascii="宋体" w:hAnsi="宋体" w:cs="宋体"/>
          <w:szCs w:val="21"/>
        </w:rPr>
      </w:pPr>
      <w:r>
        <w:rPr>
          <w:rFonts w:hint="eastAsia" w:ascii="宋体" w:hAnsi="宋体" w:cs="宋体"/>
          <w:szCs w:val="21"/>
        </w:rPr>
        <w:t>短路暂态工作温度                       不低于250℃</w:t>
      </w:r>
    </w:p>
    <w:p w14:paraId="2CE13697">
      <w:pPr>
        <w:spacing w:line="353" w:lineRule="auto"/>
        <w:ind w:firstLine="0" w:firstLineChars="0"/>
        <w:rPr>
          <w:rFonts w:hint="eastAsia" w:ascii="宋体" w:hAnsi="宋体" w:cs="宋体"/>
          <w:szCs w:val="21"/>
        </w:rPr>
      </w:pPr>
      <w:r>
        <w:rPr>
          <w:rFonts w:hint="eastAsia" w:ascii="宋体" w:hAnsi="宋体" w:cs="宋体"/>
          <w:szCs w:val="21"/>
        </w:rPr>
        <w:t>6.2 安装条件</w:t>
      </w:r>
    </w:p>
    <w:p w14:paraId="71BC02C8">
      <w:pPr>
        <w:spacing w:line="353" w:lineRule="auto"/>
        <w:ind w:firstLine="0" w:firstLineChars="0"/>
        <w:rPr>
          <w:rFonts w:hint="eastAsia" w:ascii="宋体" w:hAnsi="宋体" w:cs="宋体"/>
          <w:szCs w:val="21"/>
        </w:rPr>
      </w:pPr>
      <w:r>
        <w:rPr>
          <w:rFonts w:hint="eastAsia" w:ascii="宋体" w:hAnsi="宋体" w:cs="宋体"/>
          <w:szCs w:val="21"/>
        </w:rPr>
        <w:t>1）室内架空敷设</w:t>
      </w:r>
    </w:p>
    <w:p w14:paraId="0104247B">
      <w:pPr>
        <w:spacing w:line="353" w:lineRule="auto"/>
        <w:ind w:firstLine="0" w:firstLineChars="0"/>
        <w:rPr>
          <w:rFonts w:hint="eastAsia" w:ascii="宋体" w:hAnsi="宋体" w:cs="宋体"/>
          <w:szCs w:val="21"/>
        </w:rPr>
      </w:pPr>
      <w:r>
        <w:rPr>
          <w:rFonts w:hint="eastAsia" w:ascii="宋体" w:hAnsi="宋体" w:cs="宋体"/>
          <w:szCs w:val="21"/>
        </w:rPr>
        <w:t>电缆敷设在水平的连续或断续的电缆桥架上；</w:t>
      </w:r>
    </w:p>
    <w:p w14:paraId="66DA262D">
      <w:pPr>
        <w:spacing w:line="353" w:lineRule="auto"/>
        <w:ind w:firstLine="0" w:firstLineChars="0"/>
        <w:rPr>
          <w:rFonts w:hint="eastAsia" w:ascii="宋体" w:hAnsi="宋体" w:cs="宋体"/>
          <w:szCs w:val="21"/>
        </w:rPr>
      </w:pPr>
      <w:r>
        <w:rPr>
          <w:rFonts w:hint="eastAsia" w:ascii="宋体" w:hAnsi="宋体" w:cs="宋体"/>
          <w:szCs w:val="21"/>
        </w:rPr>
        <w:t>电缆被夹在垂直的电缆桥架上；</w:t>
      </w:r>
    </w:p>
    <w:p w14:paraId="1AFAF190">
      <w:pPr>
        <w:spacing w:line="353" w:lineRule="auto"/>
        <w:ind w:firstLine="0" w:firstLineChars="0"/>
        <w:rPr>
          <w:rFonts w:hint="eastAsia" w:ascii="宋体" w:hAnsi="宋体" w:cs="宋体"/>
          <w:szCs w:val="21"/>
        </w:rPr>
      </w:pPr>
      <w:r>
        <w:rPr>
          <w:rFonts w:hint="eastAsia" w:ascii="宋体" w:hAnsi="宋体" w:cs="宋体"/>
          <w:szCs w:val="21"/>
        </w:rPr>
        <w:t>电缆用线夹固定在墙上。</w:t>
      </w:r>
    </w:p>
    <w:p w14:paraId="04101037">
      <w:pPr>
        <w:spacing w:line="353" w:lineRule="auto"/>
        <w:ind w:firstLine="0" w:firstLineChars="0"/>
        <w:rPr>
          <w:rFonts w:hint="eastAsia" w:ascii="宋体" w:hAnsi="宋体" w:cs="宋体"/>
          <w:szCs w:val="21"/>
        </w:rPr>
      </w:pPr>
      <w:r>
        <w:rPr>
          <w:rFonts w:hint="eastAsia" w:ascii="宋体" w:hAnsi="宋体" w:cs="宋体"/>
          <w:szCs w:val="21"/>
        </w:rPr>
        <w:t>2）室内非通风的竖井内和埋设于混凝土结构楼板中或墙内的保护钢管内敷设。</w:t>
      </w:r>
    </w:p>
    <w:p w14:paraId="5978A6E7">
      <w:pPr>
        <w:spacing w:line="353" w:lineRule="auto"/>
        <w:ind w:firstLine="0" w:firstLineChars="0"/>
        <w:rPr>
          <w:rFonts w:hint="eastAsia" w:ascii="宋体" w:hAnsi="宋体" w:cs="宋体"/>
          <w:szCs w:val="21"/>
        </w:rPr>
      </w:pPr>
      <w:r>
        <w:rPr>
          <w:rFonts w:hint="eastAsia" w:ascii="宋体" w:hAnsi="宋体" w:cs="宋体"/>
          <w:szCs w:val="21"/>
        </w:rPr>
        <w:t>3）室内、外电缆沟、电缆隧道内或直接埋设于地下敷设。</w:t>
      </w:r>
    </w:p>
    <w:p w14:paraId="0D8837B3">
      <w:pPr>
        <w:spacing w:line="353" w:lineRule="auto"/>
        <w:ind w:firstLine="0" w:firstLineChars="0"/>
        <w:rPr>
          <w:rFonts w:hint="eastAsia" w:ascii="宋体" w:hAnsi="宋体" w:cs="宋体"/>
          <w:szCs w:val="21"/>
        </w:rPr>
      </w:pPr>
      <w:r>
        <w:rPr>
          <w:rFonts w:hint="eastAsia" w:ascii="宋体" w:hAnsi="宋体" w:cs="宋体"/>
          <w:szCs w:val="21"/>
        </w:rPr>
        <w:t>在上述情况下，电缆允许弯曲半径满足GB/T 12706规范要求。</w:t>
      </w:r>
    </w:p>
    <w:p w14:paraId="708BEFC2">
      <w:pPr>
        <w:spacing w:line="353" w:lineRule="auto"/>
        <w:ind w:firstLine="0" w:firstLineChars="0"/>
        <w:rPr>
          <w:rFonts w:hint="eastAsia" w:ascii="宋体" w:hAnsi="宋体" w:cs="宋体"/>
          <w:szCs w:val="21"/>
        </w:rPr>
      </w:pPr>
      <w:r>
        <w:rPr>
          <w:rFonts w:hint="eastAsia" w:ascii="宋体" w:hAnsi="宋体" w:cs="宋体"/>
          <w:szCs w:val="21"/>
        </w:rPr>
        <w:t>6.3 在本工程的环境条件下，电缆应能承受因安装牵拉所产生的下列拉力：</w:t>
      </w:r>
    </w:p>
    <w:p w14:paraId="4B6EB662">
      <w:pPr>
        <w:spacing w:line="353" w:lineRule="auto"/>
        <w:ind w:firstLine="0" w:firstLineChars="0"/>
        <w:rPr>
          <w:rFonts w:hint="eastAsia" w:ascii="宋体" w:hAnsi="宋体" w:cs="宋体"/>
          <w:szCs w:val="21"/>
        </w:rPr>
      </w:pPr>
      <w:r>
        <w:rPr>
          <w:rFonts w:hint="eastAsia" w:ascii="宋体" w:hAnsi="宋体" w:cs="宋体"/>
          <w:szCs w:val="21"/>
        </w:rPr>
        <w:t>1）拉15m电缆的重量所产生的牵拉力；</w:t>
      </w:r>
    </w:p>
    <w:p w14:paraId="57358D3F">
      <w:pPr>
        <w:spacing w:line="353" w:lineRule="auto"/>
        <w:ind w:firstLine="0" w:firstLineChars="0"/>
        <w:rPr>
          <w:rFonts w:hint="eastAsia" w:ascii="宋体" w:hAnsi="宋体" w:cs="宋体"/>
          <w:szCs w:val="21"/>
        </w:rPr>
      </w:pPr>
      <w:r>
        <w:rPr>
          <w:rFonts w:hint="eastAsia" w:ascii="宋体" w:hAnsi="宋体" w:cs="宋体"/>
          <w:szCs w:val="21"/>
        </w:rPr>
        <w:t>2）与粗糙地面的摩擦力；</w:t>
      </w:r>
    </w:p>
    <w:p w14:paraId="25307E07">
      <w:pPr>
        <w:spacing w:line="353" w:lineRule="auto"/>
        <w:ind w:firstLine="0" w:firstLineChars="0"/>
        <w:rPr>
          <w:rFonts w:hint="eastAsia" w:ascii="宋体" w:hAnsi="宋体" w:cs="宋体"/>
          <w:szCs w:val="21"/>
        </w:rPr>
      </w:pPr>
      <w:r>
        <w:rPr>
          <w:rFonts w:hint="eastAsia" w:ascii="宋体" w:hAnsi="宋体" w:cs="宋体"/>
          <w:szCs w:val="21"/>
        </w:rPr>
        <w:t>3）弯曲半径不小于规定值时的弯曲应力。</w:t>
      </w:r>
    </w:p>
    <w:p w14:paraId="47E59BBE">
      <w:pPr>
        <w:spacing w:line="353" w:lineRule="auto"/>
        <w:ind w:firstLine="315" w:firstLineChars="150"/>
        <w:rPr>
          <w:rFonts w:hint="eastAsia" w:ascii="宋体" w:hAnsi="宋体" w:cs="宋体"/>
          <w:szCs w:val="21"/>
        </w:rPr>
      </w:pPr>
      <w:r>
        <w:rPr>
          <w:rFonts w:hint="eastAsia" w:ascii="宋体" w:hAnsi="宋体" w:cs="宋体"/>
          <w:szCs w:val="21"/>
        </w:rPr>
        <w:t>电缆应适合安装于户内、户外，暴露于空气中、阳光中，敷设于保护管中、桥架中、电缆沟（隧道）中。当要求电缆有铠装时，铠装电缆应可直埋在土壤中敷设。</w:t>
      </w:r>
    </w:p>
    <w:p w14:paraId="32000375">
      <w:pPr>
        <w:spacing w:line="353" w:lineRule="auto"/>
        <w:ind w:firstLine="0" w:firstLineChars="0"/>
        <w:rPr>
          <w:rFonts w:hint="eastAsia" w:ascii="宋体" w:hAnsi="宋体" w:cs="宋体"/>
          <w:szCs w:val="21"/>
        </w:rPr>
      </w:pPr>
      <w:r>
        <w:rPr>
          <w:rFonts w:hint="eastAsia" w:ascii="宋体" w:hAnsi="宋体" w:cs="宋体"/>
          <w:szCs w:val="21"/>
        </w:rPr>
        <w:t>6.4 电缆应适应于夏季的高温环境和冬季的低温环境，多油地区，火灾危险地区，经化水处理地区及虫害鼠害地区运行。</w:t>
      </w:r>
    </w:p>
    <w:p w14:paraId="188578CA">
      <w:pPr>
        <w:snapToGrid w:val="0"/>
        <w:spacing w:line="353" w:lineRule="auto"/>
        <w:ind w:firstLine="0" w:firstLineChars="0"/>
        <w:rPr>
          <w:rFonts w:hint="eastAsia" w:ascii="宋体" w:hAnsi="宋体" w:cs="宋体"/>
          <w:szCs w:val="21"/>
        </w:rPr>
      </w:pPr>
      <w:r>
        <w:rPr>
          <w:rFonts w:hint="eastAsia" w:ascii="宋体" w:hAnsi="宋体" w:cs="宋体"/>
          <w:szCs w:val="21"/>
        </w:rPr>
        <w:t>6.5 制造技术规范</w:t>
      </w:r>
    </w:p>
    <w:p w14:paraId="069074B3">
      <w:pPr>
        <w:snapToGrid w:val="0"/>
        <w:spacing w:line="353" w:lineRule="auto"/>
        <w:ind w:firstLine="0" w:firstLineChars="0"/>
        <w:rPr>
          <w:rFonts w:hint="eastAsia" w:ascii="宋体" w:hAnsi="宋体" w:cs="宋体"/>
          <w:szCs w:val="21"/>
        </w:rPr>
      </w:pPr>
      <w:r>
        <w:rPr>
          <w:rFonts w:hint="eastAsia" w:ascii="宋体" w:hAnsi="宋体" w:cs="宋体"/>
          <w:szCs w:val="21"/>
        </w:rPr>
        <w:t>6.5.1 导体</w:t>
      </w:r>
    </w:p>
    <w:p w14:paraId="3EC308E8">
      <w:pPr>
        <w:snapToGrid w:val="0"/>
        <w:spacing w:line="353" w:lineRule="auto"/>
        <w:ind w:firstLine="420"/>
        <w:rPr>
          <w:rFonts w:hint="eastAsia" w:ascii="宋体" w:hAnsi="宋体" w:cs="宋体"/>
          <w:szCs w:val="21"/>
        </w:rPr>
      </w:pPr>
      <w:r>
        <w:rPr>
          <w:rFonts w:hint="eastAsia" w:ascii="宋体" w:hAnsi="宋体" w:cs="宋体"/>
          <w:szCs w:val="21"/>
        </w:rPr>
        <w:t>导体采用高导电多股铜绞线紧压圆形结构。导体材料为一级无氧电解铜，导电铜材纯度不小于99.95%，性能符合GB3953－1983《电工圆铜线》标准的规定；导体在</w:t>
      </w:r>
      <w:r>
        <w:rPr>
          <w:rFonts w:hint="eastAsia" w:ascii="宋体" w:hAnsi="宋体" w:cs="宋体"/>
          <w:bCs/>
          <w:szCs w:val="21"/>
        </w:rPr>
        <w:t>20℃的最大直流电阻和结构符合GB3956－1997《电缆的导体》标准的规定。导体表面光洁、无油污、无损伤屏蔽及绝缘的毛刺、锐边、无凸起或断裂的单线。</w:t>
      </w:r>
    </w:p>
    <w:p w14:paraId="769E5704">
      <w:pPr>
        <w:spacing w:line="353" w:lineRule="auto"/>
        <w:ind w:firstLine="0" w:firstLineChars="0"/>
        <w:rPr>
          <w:rFonts w:hint="eastAsia" w:ascii="宋体" w:hAnsi="宋体" w:cs="宋体"/>
          <w:szCs w:val="21"/>
        </w:rPr>
      </w:pPr>
      <w:r>
        <w:rPr>
          <w:rFonts w:hint="eastAsia" w:ascii="宋体" w:hAnsi="宋体" w:cs="宋体"/>
          <w:szCs w:val="21"/>
        </w:rPr>
        <w:t>6.5.2 性能要求</w:t>
      </w:r>
    </w:p>
    <w:p w14:paraId="0BB173B5">
      <w:pPr>
        <w:spacing w:line="353" w:lineRule="auto"/>
        <w:ind w:firstLine="0" w:firstLineChars="0"/>
        <w:rPr>
          <w:rFonts w:hint="eastAsia" w:ascii="宋体" w:hAnsi="宋体" w:cs="宋体"/>
          <w:szCs w:val="21"/>
        </w:rPr>
      </w:pPr>
      <w:r>
        <w:rPr>
          <w:rFonts w:hint="eastAsia" w:ascii="宋体" w:hAnsi="宋体" w:cs="宋体"/>
          <w:szCs w:val="21"/>
        </w:rPr>
        <w:t>6.5.2.1 导体材料及线芯</w:t>
      </w:r>
    </w:p>
    <w:p w14:paraId="464564D7">
      <w:pPr>
        <w:spacing w:line="353" w:lineRule="auto"/>
        <w:ind w:firstLine="420"/>
        <w:rPr>
          <w:rFonts w:hint="eastAsia" w:ascii="宋体" w:hAnsi="宋体" w:cs="宋体"/>
          <w:szCs w:val="21"/>
        </w:rPr>
      </w:pPr>
      <w:r>
        <w:rPr>
          <w:rFonts w:hint="eastAsia" w:ascii="宋体" w:hAnsi="宋体" w:cs="宋体"/>
          <w:szCs w:val="21"/>
        </w:rPr>
        <w:t>电力电缆采用铜线芯。导体的截面应按本规范书中规定的标准确定尺寸，以得到适当的载流量。单相电力电缆时，应由一根全尺寸导线组成。三相电力电缆应由三根全尺寸导线组成。</w:t>
      </w:r>
    </w:p>
    <w:p w14:paraId="6DF9DB39">
      <w:pPr>
        <w:spacing w:line="353" w:lineRule="auto"/>
        <w:ind w:firstLine="0" w:firstLineChars="0"/>
        <w:rPr>
          <w:rFonts w:hint="eastAsia" w:ascii="宋体" w:hAnsi="宋体" w:cs="宋体"/>
          <w:szCs w:val="21"/>
        </w:rPr>
      </w:pPr>
      <w:r>
        <w:rPr>
          <w:rFonts w:hint="eastAsia" w:ascii="宋体" w:hAnsi="宋体" w:cs="宋体"/>
          <w:szCs w:val="21"/>
        </w:rPr>
        <w:t>6.5.2.2 绝缘及护套</w:t>
      </w:r>
    </w:p>
    <w:p w14:paraId="000A0293">
      <w:pPr>
        <w:spacing w:line="353" w:lineRule="auto"/>
        <w:ind w:firstLine="420"/>
        <w:rPr>
          <w:rFonts w:hint="eastAsia" w:ascii="宋体" w:hAnsi="宋体" w:cs="宋体"/>
          <w:szCs w:val="21"/>
        </w:rPr>
      </w:pPr>
      <w:r>
        <w:rPr>
          <w:rFonts w:hint="eastAsia" w:ascii="宋体" w:hAnsi="宋体" w:cs="宋体"/>
          <w:szCs w:val="21"/>
        </w:rPr>
        <w:t>缆芯与绝缘层之间的冲击耐压，应满足系统绝缘配合要求的雷电冲击绝缘水平。电力电缆的绝缘材料应采用交联聚乙烯，绝缘厚度平均值不小于标准中规定的标称值。</w:t>
      </w:r>
    </w:p>
    <w:p w14:paraId="7849CFB1">
      <w:pPr>
        <w:spacing w:line="353" w:lineRule="auto"/>
        <w:ind w:firstLine="0" w:firstLineChars="0"/>
        <w:rPr>
          <w:rFonts w:hint="eastAsia" w:ascii="宋体" w:hAnsi="宋体" w:cs="宋体"/>
          <w:szCs w:val="21"/>
        </w:rPr>
      </w:pPr>
      <w:r>
        <w:rPr>
          <w:rFonts w:hint="eastAsia" w:ascii="宋体" w:hAnsi="宋体" w:cs="宋体"/>
          <w:szCs w:val="21"/>
        </w:rPr>
        <w:t>6.5.2.3 内衬层</w:t>
      </w:r>
    </w:p>
    <w:p w14:paraId="0D9B13CB">
      <w:pPr>
        <w:spacing w:line="353" w:lineRule="auto"/>
        <w:ind w:firstLine="315" w:firstLineChars="150"/>
        <w:rPr>
          <w:rFonts w:hint="eastAsia" w:ascii="宋体" w:hAnsi="宋体" w:cs="宋体"/>
          <w:szCs w:val="21"/>
        </w:rPr>
      </w:pPr>
      <w:r>
        <w:rPr>
          <w:rFonts w:hint="eastAsia" w:ascii="宋体" w:hAnsi="宋体" w:cs="宋体"/>
          <w:szCs w:val="21"/>
        </w:rPr>
        <w:t>内衬层可以挤包或绕包。圆形绝缘线芯电缆只有在绝缘线芯间的间隙被密实填充时，才应允许采用绕包内衬层。挤包内衬层前允许用合适的带子扎紧。</w:t>
      </w:r>
    </w:p>
    <w:p w14:paraId="75B9B2E1">
      <w:pPr>
        <w:spacing w:line="353" w:lineRule="auto"/>
        <w:ind w:firstLine="0" w:firstLineChars="0"/>
        <w:rPr>
          <w:rFonts w:hint="eastAsia" w:ascii="宋体" w:hAnsi="宋体" w:cs="宋体"/>
          <w:szCs w:val="21"/>
        </w:rPr>
      </w:pPr>
      <w:r>
        <w:rPr>
          <w:rFonts w:hint="eastAsia" w:ascii="宋体" w:hAnsi="宋体" w:cs="宋体"/>
          <w:szCs w:val="21"/>
        </w:rPr>
        <w:t>6.5.2.4 电力电缆色标</w:t>
      </w:r>
    </w:p>
    <w:p w14:paraId="777E6879">
      <w:pPr>
        <w:spacing w:line="353" w:lineRule="auto"/>
        <w:ind w:firstLine="0" w:firstLineChars="0"/>
        <w:rPr>
          <w:rFonts w:hint="eastAsia" w:ascii="宋体" w:hAnsi="宋体" w:cs="宋体"/>
          <w:szCs w:val="21"/>
        </w:rPr>
      </w:pPr>
      <w:r>
        <w:rPr>
          <w:rFonts w:hint="eastAsia" w:ascii="宋体" w:hAnsi="宋体" w:cs="宋体"/>
          <w:szCs w:val="21"/>
        </w:rPr>
        <w:t>电力电缆应按以下颜色标识：</w:t>
      </w:r>
    </w:p>
    <w:p w14:paraId="7F2150FB">
      <w:pPr>
        <w:spacing w:line="353" w:lineRule="auto"/>
        <w:ind w:firstLine="0" w:firstLineChars="0"/>
        <w:rPr>
          <w:rFonts w:hint="eastAsia" w:ascii="宋体" w:hAnsi="宋体" w:cs="宋体"/>
          <w:szCs w:val="21"/>
        </w:rPr>
      </w:pPr>
      <w:r>
        <w:rPr>
          <w:rFonts w:hint="eastAsia" w:ascii="宋体" w:hAnsi="宋体" w:cs="宋体"/>
          <w:szCs w:val="21"/>
        </w:rPr>
        <w:t>黄、绿、红色表示导线相位；</w:t>
      </w:r>
    </w:p>
    <w:p w14:paraId="09EBCE2B">
      <w:pPr>
        <w:spacing w:line="353" w:lineRule="auto"/>
        <w:ind w:firstLine="0" w:firstLineChars="0"/>
        <w:rPr>
          <w:rFonts w:hint="eastAsia" w:ascii="宋体" w:hAnsi="宋体" w:cs="宋体"/>
          <w:szCs w:val="21"/>
        </w:rPr>
      </w:pPr>
      <w:r>
        <w:rPr>
          <w:rFonts w:hint="eastAsia" w:ascii="宋体" w:hAnsi="宋体" w:cs="宋体"/>
          <w:szCs w:val="21"/>
        </w:rPr>
        <w:t>蓝色表示交流中性线；</w:t>
      </w:r>
    </w:p>
    <w:p w14:paraId="1E7F40D2">
      <w:pPr>
        <w:spacing w:line="353" w:lineRule="auto"/>
        <w:ind w:firstLine="0" w:firstLineChars="0"/>
        <w:rPr>
          <w:rFonts w:hint="eastAsia" w:ascii="宋体" w:hAnsi="宋体" w:cs="宋体"/>
          <w:szCs w:val="21"/>
        </w:rPr>
      </w:pPr>
      <w:r>
        <w:rPr>
          <w:rFonts w:hint="eastAsia" w:ascii="宋体" w:hAnsi="宋体" w:cs="宋体"/>
          <w:szCs w:val="21"/>
        </w:rPr>
        <w:t>黄绿色表示接地线；</w:t>
      </w:r>
    </w:p>
    <w:p w14:paraId="2FDD432A">
      <w:pPr>
        <w:spacing w:line="353" w:lineRule="auto"/>
        <w:ind w:firstLine="0" w:firstLineChars="0"/>
        <w:rPr>
          <w:rFonts w:hint="eastAsia" w:ascii="宋体" w:hAnsi="宋体" w:cs="宋体"/>
          <w:szCs w:val="21"/>
        </w:rPr>
      </w:pPr>
      <w:r>
        <w:rPr>
          <w:rFonts w:hint="eastAsia" w:ascii="宋体" w:hAnsi="宋体" w:cs="宋体"/>
          <w:szCs w:val="21"/>
        </w:rPr>
        <w:t>棕色和黑色表示直流线；</w:t>
      </w:r>
    </w:p>
    <w:p w14:paraId="79CB1179">
      <w:pPr>
        <w:spacing w:line="353" w:lineRule="auto"/>
        <w:ind w:firstLine="0" w:firstLineChars="0"/>
        <w:rPr>
          <w:rFonts w:hint="eastAsia" w:ascii="宋体" w:hAnsi="宋体" w:cs="宋体"/>
          <w:szCs w:val="21"/>
        </w:rPr>
      </w:pPr>
      <w:r>
        <w:rPr>
          <w:rFonts w:hint="eastAsia" w:ascii="宋体" w:hAnsi="宋体" w:cs="宋体"/>
          <w:szCs w:val="21"/>
        </w:rPr>
        <w:t>6.5.2.5 电缆不圆度</w:t>
      </w:r>
    </w:p>
    <w:p w14:paraId="3A7515AA">
      <w:pPr>
        <w:spacing w:line="353" w:lineRule="auto"/>
        <w:ind w:firstLine="0" w:firstLineChars="0"/>
        <w:rPr>
          <w:rFonts w:hint="eastAsia" w:ascii="宋体" w:hAnsi="宋体" w:cs="宋体"/>
          <w:szCs w:val="21"/>
        </w:rPr>
      </w:pPr>
      <w:r>
        <w:rPr>
          <w:rFonts w:hint="eastAsia" w:ascii="宋体" w:hAnsi="宋体" w:cs="宋体"/>
          <w:szCs w:val="21"/>
        </w:rPr>
        <w:t>电缆不圆度应不大于15%；</w:t>
      </w:r>
    </w:p>
    <w:p w14:paraId="284C1852">
      <w:pPr>
        <w:spacing w:line="353" w:lineRule="auto"/>
        <w:ind w:firstLine="0" w:firstLineChars="0"/>
        <w:rPr>
          <w:rFonts w:hint="eastAsia" w:ascii="宋体" w:hAnsi="宋体" w:cs="宋体"/>
          <w:szCs w:val="21"/>
        </w:rPr>
      </w:pPr>
      <w:r>
        <w:rPr>
          <w:rFonts w:hint="eastAsia" w:ascii="宋体" w:hAnsi="宋体" w:cs="宋体"/>
          <w:szCs w:val="21"/>
        </w:rPr>
        <w:t>电缆不圆度=（电缆最大外径－电缆最小外径）/ 电缆最大外径*100%</w:t>
      </w:r>
    </w:p>
    <w:p w14:paraId="3ED83FA6">
      <w:pPr>
        <w:spacing w:line="353" w:lineRule="auto"/>
        <w:ind w:firstLine="0" w:firstLineChars="0"/>
        <w:rPr>
          <w:rFonts w:hint="eastAsia" w:ascii="宋体" w:hAnsi="宋体" w:cs="宋体"/>
          <w:szCs w:val="21"/>
        </w:rPr>
      </w:pPr>
      <w:r>
        <w:rPr>
          <w:rFonts w:hint="eastAsia" w:ascii="宋体" w:hAnsi="宋体" w:cs="宋体"/>
          <w:szCs w:val="21"/>
        </w:rPr>
        <w:t>6.6  其它要求</w:t>
      </w:r>
    </w:p>
    <w:p w14:paraId="1563FF41">
      <w:pPr>
        <w:spacing w:line="353" w:lineRule="auto"/>
        <w:ind w:firstLine="0" w:firstLineChars="0"/>
        <w:rPr>
          <w:rFonts w:hint="eastAsia" w:ascii="宋体" w:hAnsi="宋体" w:cs="宋体"/>
          <w:szCs w:val="21"/>
        </w:rPr>
      </w:pPr>
      <w:r>
        <w:rPr>
          <w:rFonts w:hint="eastAsia" w:ascii="宋体" w:hAnsi="宋体" w:cs="宋体"/>
          <w:szCs w:val="21"/>
        </w:rPr>
        <w:t>6.6.1  对较长管路，为满足施工时不致超出电缆允许拉力及侧压力，制造厂应提供导体的护套所允许的最大拉力及侧压力。</w:t>
      </w:r>
    </w:p>
    <w:p w14:paraId="7731A47D">
      <w:pPr>
        <w:spacing w:line="353" w:lineRule="auto"/>
        <w:ind w:firstLine="0" w:firstLineChars="0"/>
        <w:rPr>
          <w:rFonts w:hint="eastAsia" w:ascii="宋体" w:hAnsi="宋体" w:cs="宋体"/>
          <w:szCs w:val="21"/>
        </w:rPr>
      </w:pPr>
      <w:r>
        <w:rPr>
          <w:rFonts w:hint="eastAsia" w:ascii="宋体" w:hAnsi="宋体" w:cs="宋体"/>
          <w:szCs w:val="21"/>
        </w:rPr>
        <w:t>6.6.2  在正常的导体运行温度下电缆设计寿命不小于40年。</w:t>
      </w:r>
    </w:p>
    <w:p w14:paraId="541C16D2">
      <w:pPr>
        <w:spacing w:line="353" w:lineRule="auto"/>
        <w:ind w:firstLine="0" w:firstLineChars="0"/>
        <w:rPr>
          <w:rFonts w:hint="eastAsia" w:ascii="宋体" w:hAnsi="宋体" w:cs="宋体"/>
          <w:szCs w:val="21"/>
        </w:rPr>
      </w:pPr>
      <w:r>
        <w:rPr>
          <w:rFonts w:hint="eastAsia" w:ascii="宋体" w:hAnsi="宋体" w:cs="宋体"/>
          <w:szCs w:val="21"/>
        </w:rPr>
        <w:t>6.6.3 谈判方提供的电缆的使用寿命不应受到本规范书提供的环境条件的影响，如果受到影响，谈判方应对这些条件进行鉴定，并以文字形式说明其影响。</w:t>
      </w:r>
    </w:p>
    <w:p w14:paraId="4BF8120B">
      <w:pPr>
        <w:spacing w:line="353" w:lineRule="auto"/>
        <w:ind w:firstLine="0" w:firstLineChars="0"/>
        <w:rPr>
          <w:rFonts w:hint="eastAsia" w:ascii="宋体" w:hAnsi="宋体" w:cs="宋体"/>
          <w:szCs w:val="21"/>
        </w:rPr>
      </w:pPr>
      <w:r>
        <w:rPr>
          <w:rFonts w:hint="eastAsia" w:ascii="宋体" w:hAnsi="宋体" w:cs="宋体"/>
          <w:szCs w:val="21"/>
        </w:rPr>
        <w:t>6.6.4 电缆应采用符合产品要求的材料生产，不能使用不合格的材料或不合格的代用材料生产，电缆端头应密封，用电缆盘交货时，电缆伸出侧板的长度不应大于300mm。</w:t>
      </w:r>
    </w:p>
    <w:p w14:paraId="4E7086CA">
      <w:pPr>
        <w:spacing w:line="353" w:lineRule="auto"/>
        <w:ind w:firstLine="0" w:firstLineChars="0"/>
        <w:rPr>
          <w:rFonts w:hint="eastAsia" w:ascii="宋体" w:hAnsi="宋体" w:cs="宋体"/>
          <w:szCs w:val="21"/>
        </w:rPr>
      </w:pPr>
      <w:r>
        <w:rPr>
          <w:rFonts w:hint="eastAsia" w:ascii="宋体" w:hAnsi="宋体" w:cs="宋体"/>
          <w:szCs w:val="21"/>
        </w:rPr>
        <w:t>6.6.5 运输过程中严禁电缆的机械损伤和有害介质的侵蚀。</w:t>
      </w:r>
    </w:p>
    <w:p w14:paraId="17B24EC6">
      <w:pPr>
        <w:spacing w:line="353" w:lineRule="auto"/>
        <w:ind w:firstLine="0" w:firstLineChars="0"/>
        <w:rPr>
          <w:rFonts w:hint="eastAsia" w:ascii="宋体" w:hAnsi="宋体" w:cs="宋体"/>
          <w:szCs w:val="21"/>
        </w:rPr>
      </w:pPr>
      <w:r>
        <w:rPr>
          <w:rFonts w:hint="eastAsia" w:ascii="宋体" w:hAnsi="宋体" w:cs="宋体"/>
          <w:szCs w:val="21"/>
        </w:rPr>
        <w:t>6.6.6 电缆标识应符合《电线电缆识别标志》标准的规定。电缆的外套标志，应标明谈判方厂名或商标认可证标记，另外还应标明便于核对电缆长度的数字标记。电缆线芯标志应符合《电力电缆绝缘线芯识别标志》的规定。</w:t>
      </w:r>
    </w:p>
    <w:p w14:paraId="7B39E330">
      <w:pPr>
        <w:snapToGrid w:val="0"/>
        <w:spacing w:line="353" w:lineRule="auto"/>
        <w:ind w:firstLine="0" w:firstLineChars="0"/>
        <w:rPr>
          <w:rFonts w:hint="eastAsia" w:ascii="宋体" w:hAnsi="宋体" w:cs="宋体"/>
          <w:b/>
          <w:szCs w:val="21"/>
        </w:rPr>
      </w:pPr>
      <w:r>
        <w:rPr>
          <w:rFonts w:hint="eastAsia" w:ascii="宋体" w:hAnsi="宋体" w:cs="宋体"/>
          <w:b/>
          <w:szCs w:val="21"/>
        </w:rPr>
        <w:t>7. 工程技术服务</w:t>
      </w:r>
    </w:p>
    <w:p w14:paraId="40ED9A49">
      <w:pPr>
        <w:snapToGrid w:val="0"/>
        <w:spacing w:line="353" w:lineRule="auto"/>
        <w:ind w:firstLine="0" w:firstLineChars="0"/>
        <w:rPr>
          <w:rFonts w:hint="eastAsia" w:ascii="宋体" w:hAnsi="宋体" w:cs="宋体"/>
          <w:szCs w:val="21"/>
        </w:rPr>
      </w:pPr>
      <w:r>
        <w:rPr>
          <w:rFonts w:hint="eastAsia" w:ascii="宋体" w:hAnsi="宋体" w:cs="宋体"/>
          <w:szCs w:val="21"/>
        </w:rPr>
        <w:t>7.1 如果现场需要，谈判方应能在48小时内赶到现场并及时处理出现的任何问题。</w:t>
      </w:r>
    </w:p>
    <w:p w14:paraId="01745A46">
      <w:pPr>
        <w:pStyle w:val="47"/>
        <w:ind w:left="0" w:leftChars="0" w:firstLine="0" w:firstLineChars="0"/>
        <w:rPr>
          <w:rFonts w:hint="eastAsia"/>
          <w:lang w:val="en-US" w:eastAsia="zh-CN"/>
        </w:rPr>
        <w:sectPr>
          <w:pgSz w:w="11905" w:h="16838"/>
          <w:pgMar w:top="1440" w:right="1803" w:bottom="1440" w:left="1803" w:header="850" w:footer="850" w:gutter="0"/>
          <w:cols w:space="0" w:num="1"/>
          <w:docGrid w:linePitch="312" w:charSpace="0"/>
        </w:sectPr>
      </w:pPr>
      <w:r>
        <w:rPr>
          <w:rFonts w:hint="eastAsia" w:ascii="宋体" w:hAnsi="宋体" w:cs="宋体"/>
          <w:szCs w:val="21"/>
        </w:rPr>
        <w:t>7.2谈判方保证所提供的电缆满足电厂安全、可靠运行的要求。并对电缆的设计、制造、供货、试验、装箱、发运等过程全面负责。</w:t>
      </w:r>
    </w:p>
    <w:p w14:paraId="794342C1">
      <w:pPr>
        <w:pStyle w:val="3"/>
      </w:pPr>
      <w:r>
        <w:rPr>
          <w:rFonts w:hint="eastAsia"/>
          <w:lang w:val="en-US" w:eastAsia="zh-CN"/>
        </w:rPr>
        <w:t>九</w:t>
      </w:r>
      <w:r>
        <w:t>、其他资料</w:t>
      </w:r>
      <w:bookmarkEnd w:id="249"/>
    </w:p>
    <w:p w14:paraId="6FE9579D">
      <w:pPr>
        <w:ind w:firstLine="0" w:firstLineChars="0"/>
        <w:jc w:val="center"/>
      </w:pPr>
      <w:r>
        <w:t>包括本谈判文件中需要提交的其他材料、证书以及供应商认为需要提交的内容等</w:t>
      </w:r>
    </w:p>
    <w:p w14:paraId="0595F39F">
      <w:pPr>
        <w:pStyle w:val="2"/>
        <w:ind w:firstLine="723"/>
        <w:rPr>
          <w:rFonts w:ascii="Times New Roman" w:hAnsi="Times New Roman"/>
        </w:rPr>
      </w:pPr>
    </w:p>
    <w:p w14:paraId="0107E82B">
      <w:pPr>
        <w:ind w:firstLine="420"/>
      </w:pPr>
    </w:p>
    <w:p w14:paraId="095A201D">
      <w:pPr>
        <w:pStyle w:val="2"/>
        <w:ind w:firstLine="723"/>
        <w:rPr>
          <w:rFonts w:ascii="Times New Roman" w:hAnsi="Times New Roman"/>
        </w:rPr>
      </w:pPr>
    </w:p>
    <w:p w14:paraId="63D50048">
      <w:pPr>
        <w:ind w:firstLine="420"/>
      </w:pPr>
    </w:p>
    <w:p w14:paraId="52FC19DE">
      <w:pPr>
        <w:pStyle w:val="2"/>
        <w:ind w:firstLine="723"/>
        <w:rPr>
          <w:rFonts w:ascii="Times New Roman" w:hAnsi="Times New Roman"/>
        </w:rPr>
      </w:pPr>
    </w:p>
    <w:p w14:paraId="394250E3">
      <w:pPr>
        <w:ind w:firstLine="420"/>
      </w:pPr>
    </w:p>
    <w:p w14:paraId="213CC762">
      <w:pPr>
        <w:pStyle w:val="2"/>
        <w:ind w:firstLine="723"/>
        <w:rPr>
          <w:rFonts w:ascii="Times New Roman" w:hAnsi="Times New Roman"/>
        </w:rPr>
      </w:pPr>
    </w:p>
    <w:p w14:paraId="7C34C23C">
      <w:pPr>
        <w:ind w:firstLine="420"/>
      </w:pPr>
    </w:p>
    <w:p w14:paraId="0AF6EE8D">
      <w:pPr>
        <w:pStyle w:val="2"/>
        <w:ind w:firstLine="723"/>
        <w:rPr>
          <w:rFonts w:ascii="Times New Roman" w:hAnsi="Times New Roman"/>
        </w:rPr>
      </w:pPr>
    </w:p>
    <w:p w14:paraId="4CCA5C85">
      <w:pPr>
        <w:ind w:firstLine="420"/>
      </w:pPr>
    </w:p>
    <w:p w14:paraId="207EBB08">
      <w:pPr>
        <w:pStyle w:val="2"/>
        <w:ind w:firstLine="723"/>
        <w:rPr>
          <w:rFonts w:ascii="Times New Roman" w:hAnsi="Times New Roman"/>
        </w:rPr>
      </w:pPr>
    </w:p>
    <w:p w14:paraId="0507EDDA">
      <w:pPr>
        <w:ind w:firstLine="420"/>
      </w:pPr>
    </w:p>
    <w:p w14:paraId="602DE695">
      <w:pPr>
        <w:pStyle w:val="2"/>
        <w:ind w:firstLine="723"/>
        <w:rPr>
          <w:rFonts w:ascii="Times New Roman" w:hAnsi="Times New Roman"/>
        </w:rPr>
      </w:pPr>
    </w:p>
    <w:p w14:paraId="7E42AA5E">
      <w:pPr>
        <w:ind w:firstLine="420"/>
      </w:pPr>
    </w:p>
    <w:p w14:paraId="6742D678">
      <w:pPr>
        <w:pStyle w:val="2"/>
        <w:ind w:firstLine="723"/>
        <w:rPr>
          <w:rFonts w:ascii="Times New Roman" w:hAnsi="Times New Roman"/>
        </w:rPr>
      </w:pPr>
    </w:p>
    <w:p w14:paraId="048E54F0">
      <w:pPr>
        <w:ind w:firstLine="420"/>
      </w:pPr>
    </w:p>
    <w:p w14:paraId="6E8D2795">
      <w:pPr>
        <w:pStyle w:val="2"/>
        <w:ind w:firstLine="723"/>
        <w:rPr>
          <w:rFonts w:ascii="Times New Roman" w:hAnsi="Times New Roman"/>
        </w:rPr>
      </w:pPr>
    </w:p>
    <w:p w14:paraId="5E0DE273">
      <w:pPr>
        <w:ind w:firstLine="420"/>
      </w:pPr>
    </w:p>
    <w:p w14:paraId="7181F436">
      <w:pPr>
        <w:pStyle w:val="2"/>
        <w:ind w:firstLine="723"/>
        <w:rPr>
          <w:rFonts w:ascii="Times New Roman" w:hAnsi="Times New Roman"/>
        </w:rPr>
      </w:pPr>
    </w:p>
    <w:p w14:paraId="56250A4B">
      <w:pPr>
        <w:ind w:firstLine="420"/>
      </w:pPr>
    </w:p>
    <w:p w14:paraId="1277C0E4">
      <w:pPr>
        <w:pStyle w:val="2"/>
        <w:ind w:firstLine="723"/>
        <w:rPr>
          <w:rFonts w:ascii="Times New Roman" w:hAnsi="Times New Roman"/>
        </w:rPr>
      </w:pPr>
    </w:p>
    <w:p w14:paraId="1387BF38">
      <w:pPr>
        <w:ind w:firstLine="420"/>
      </w:pPr>
    </w:p>
    <w:p w14:paraId="18363619">
      <w:pPr>
        <w:ind w:firstLine="0" w:firstLineChars="0"/>
        <w:jc w:val="center"/>
        <w:outlineLvl w:val="1"/>
        <w:rPr>
          <w:rFonts w:eastAsia="黑体"/>
          <w:color w:val="000000" w:themeColor="text1"/>
          <w:sz w:val="32"/>
          <w:szCs w:val="20"/>
          <w14:textFill>
            <w14:solidFill>
              <w14:schemeClr w14:val="tx1"/>
            </w14:solidFill>
          </w14:textFill>
        </w:rPr>
      </w:pPr>
    </w:p>
    <w:p w14:paraId="16E9A67F">
      <w:pPr>
        <w:ind w:firstLine="0" w:firstLineChars="0"/>
        <w:jc w:val="center"/>
        <w:outlineLvl w:val="1"/>
        <w:rPr>
          <w:rFonts w:eastAsia="黑体"/>
          <w:color w:val="000000" w:themeColor="text1"/>
          <w:sz w:val="32"/>
          <w:szCs w:val="20"/>
          <w14:textFill>
            <w14:solidFill>
              <w14:schemeClr w14:val="tx1"/>
            </w14:solidFill>
          </w14:textFill>
        </w:rPr>
      </w:pPr>
      <w:bookmarkStart w:id="250" w:name="_Toc14386"/>
      <w:r>
        <w:rPr>
          <w:rFonts w:hint="eastAsia" w:eastAsia="黑体"/>
          <w:color w:val="000000" w:themeColor="text1"/>
          <w:sz w:val="32"/>
          <w:szCs w:val="20"/>
          <w:lang w:val="en-US" w:eastAsia="zh-CN"/>
          <w14:textFill>
            <w14:solidFill>
              <w14:schemeClr w14:val="tx1"/>
            </w14:solidFill>
          </w14:textFill>
        </w:rPr>
        <w:t>十</w:t>
      </w:r>
      <w:r>
        <w:rPr>
          <w:rFonts w:eastAsia="黑体"/>
          <w:color w:val="000000" w:themeColor="text1"/>
          <w:sz w:val="32"/>
          <w:szCs w:val="20"/>
          <w14:textFill>
            <w14:solidFill>
              <w14:schemeClr w14:val="tx1"/>
            </w14:solidFill>
          </w14:textFill>
        </w:rPr>
        <w:t>、第二轮报价单</w:t>
      </w:r>
      <w:bookmarkEnd w:id="248"/>
      <w:bookmarkEnd w:id="250"/>
    </w:p>
    <w:p w14:paraId="4E3D0858">
      <w:pPr>
        <w:ind w:firstLine="0" w:firstLineChars="0"/>
        <w:jc w:val="center"/>
        <w:rPr>
          <w:b/>
          <w:bCs/>
          <w:sz w:val="28"/>
          <w:szCs w:val="28"/>
        </w:rPr>
      </w:pPr>
      <w:bookmarkStart w:id="251" w:name="_Toc4884"/>
      <w:bookmarkStart w:id="252" w:name="_Toc8199"/>
      <w:bookmarkStart w:id="253" w:name="_Toc9644"/>
      <w:bookmarkStart w:id="254" w:name="_Toc2339"/>
      <w:bookmarkStart w:id="255" w:name="_Toc32011"/>
      <w:bookmarkStart w:id="256" w:name="_Toc14796"/>
      <w:r>
        <w:t>（本附件初次报价响应文件不包括，标后由成交供应商向采购人书面提供）</w:t>
      </w:r>
      <w:bookmarkEnd w:id="251"/>
      <w:bookmarkEnd w:id="252"/>
      <w:bookmarkEnd w:id="253"/>
      <w:bookmarkEnd w:id="254"/>
      <w:bookmarkEnd w:id="255"/>
      <w:bookmarkEnd w:id="256"/>
    </w:p>
    <w:p w14:paraId="08BDE8EF">
      <w:pPr>
        <w:pStyle w:val="114"/>
        <w:spacing w:line="400" w:lineRule="atLeast"/>
        <w:ind w:firstLine="480"/>
        <w:rPr>
          <w:rFonts w:ascii="Times New Roman" w:hAnsi="Times New Roman" w:eastAsia="宋体"/>
          <w:sz w:val="24"/>
          <w:szCs w:val="24"/>
        </w:rPr>
      </w:pPr>
    </w:p>
    <w:p w14:paraId="6AB590F8">
      <w:pPr>
        <w:pStyle w:val="114"/>
        <w:spacing w:line="400" w:lineRule="atLeast"/>
        <w:ind w:firstLine="480"/>
        <w:rPr>
          <w:rFonts w:ascii="Times New Roman" w:hAnsi="Times New Roman" w:eastAsia="宋体"/>
          <w:sz w:val="24"/>
          <w:szCs w:val="24"/>
        </w:rPr>
      </w:pPr>
      <w:r>
        <w:rPr>
          <w:rFonts w:ascii="Times New Roman" w:hAnsi="Times New Roman" w:eastAsia="宋体"/>
          <w:sz w:val="24"/>
          <w:szCs w:val="24"/>
        </w:rPr>
        <w:t>致：</w:t>
      </w:r>
      <w:r>
        <w:rPr>
          <w:rFonts w:ascii="Times New Roman" w:hAnsi="Times New Roman" w:eastAsia="宋体"/>
          <w:sz w:val="24"/>
          <w:szCs w:val="24"/>
          <w:u w:val="single"/>
        </w:rPr>
        <w:t xml:space="preserve">  </w:t>
      </w:r>
      <w:r>
        <w:rPr>
          <w:rFonts w:ascii="Times New Roman" w:hAnsi="Times New Roman" w:eastAsia="宋体"/>
          <w:iCs/>
          <w:sz w:val="24"/>
          <w:szCs w:val="24"/>
          <w:u w:val="single"/>
        </w:rPr>
        <w:t>（采购人）</w:t>
      </w:r>
      <w:r>
        <w:rPr>
          <w:rFonts w:ascii="Times New Roman" w:hAnsi="Times New Roman" w:eastAsia="宋体"/>
          <w:sz w:val="24"/>
          <w:szCs w:val="24"/>
          <w:u w:val="single"/>
        </w:rPr>
        <w:t xml:space="preserve">   </w:t>
      </w:r>
    </w:p>
    <w:p w14:paraId="588CEEAC">
      <w:pPr>
        <w:spacing w:line="400" w:lineRule="atLeast"/>
        <w:ind w:firstLine="480"/>
        <w:rPr>
          <w:sz w:val="24"/>
        </w:rPr>
      </w:pPr>
    </w:p>
    <w:p w14:paraId="4BDD1300">
      <w:pPr>
        <w:spacing w:line="400" w:lineRule="atLeast"/>
        <w:ind w:firstLine="480"/>
        <w:rPr>
          <w:sz w:val="24"/>
        </w:rPr>
      </w:pPr>
      <w:r>
        <w:rPr>
          <w:sz w:val="24"/>
        </w:rPr>
        <w:t>我单位</w:t>
      </w:r>
      <w:r>
        <w:rPr>
          <w:sz w:val="24"/>
          <w:u w:val="single"/>
        </w:rPr>
        <w:t xml:space="preserve">    （供应商名称）      </w:t>
      </w:r>
      <w:r>
        <w:rPr>
          <w:sz w:val="24"/>
        </w:rPr>
        <w:t>经过认真分析研究，</w:t>
      </w:r>
      <w:r>
        <w:rPr>
          <w:sz w:val="24"/>
          <w:lang w:bidi="ar"/>
        </w:rPr>
        <w:t>愿以人民币（大写） __________元（RMB￥__________元），</w:t>
      </w:r>
      <w:r>
        <w:rPr>
          <w:sz w:val="24"/>
        </w:rPr>
        <w:t>作为</w:t>
      </w:r>
      <w:r>
        <w:rPr>
          <w:sz w:val="24"/>
          <w:u w:val="single"/>
        </w:rPr>
        <w:t xml:space="preserve">          （项目名称）            </w:t>
      </w:r>
      <w:r>
        <w:rPr>
          <w:sz w:val="24"/>
        </w:rPr>
        <w:t>的第二轮报价，并严格按照谈判文件要求完成本项目。</w:t>
      </w:r>
    </w:p>
    <w:p w14:paraId="37BBF02E">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2DD13E87">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0CA125AF">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241FFBB0">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37325635">
      <w:pPr>
        <w:pStyle w:val="114"/>
        <w:tabs>
          <w:tab w:val="left" w:pos="5665"/>
          <w:tab w:val="right" w:pos="8360"/>
        </w:tabs>
        <w:spacing w:line="400" w:lineRule="atLeast"/>
        <w:ind w:right="42" w:firstLine="2834" w:firstLineChars="1181"/>
        <w:rPr>
          <w:rFonts w:ascii="Times New Roman" w:hAnsi="Times New Roman" w:eastAsia="宋体"/>
          <w:sz w:val="24"/>
          <w:szCs w:val="24"/>
        </w:rPr>
      </w:pPr>
      <w:r>
        <w:rPr>
          <w:rFonts w:ascii="Times New Roman" w:hAnsi="Times New Roman" w:eastAsia="宋体"/>
          <w:sz w:val="24"/>
          <w:szCs w:val="24"/>
        </w:rPr>
        <w:t>供应商：（加盖公章）</w:t>
      </w:r>
    </w:p>
    <w:p w14:paraId="6583D698">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7DFE0F5E">
      <w:pPr>
        <w:pStyle w:val="114"/>
        <w:tabs>
          <w:tab w:val="left" w:pos="5665"/>
          <w:tab w:val="right" w:pos="8360"/>
        </w:tabs>
        <w:spacing w:line="400" w:lineRule="atLeast"/>
        <w:ind w:right="42" w:firstLine="2834" w:firstLineChars="1181"/>
        <w:rPr>
          <w:rFonts w:ascii="Times New Roman" w:hAnsi="Times New Roman" w:eastAsia="宋体"/>
          <w:sz w:val="24"/>
          <w:szCs w:val="24"/>
          <w:u w:val="single"/>
        </w:rPr>
      </w:pPr>
      <w:r>
        <w:rPr>
          <w:rFonts w:ascii="Times New Roman" w:hAnsi="Times New Roman" w:eastAsia="宋体"/>
          <w:sz w:val="24"/>
          <w:szCs w:val="24"/>
        </w:rPr>
        <w:t>法人代表或授权委托人（签字）：</w:t>
      </w:r>
      <w:r>
        <w:rPr>
          <w:rFonts w:ascii="Times New Roman" w:hAnsi="Times New Roman" w:eastAsia="宋体"/>
          <w:sz w:val="24"/>
          <w:szCs w:val="24"/>
          <w:u w:val="single"/>
        </w:rPr>
        <w:t xml:space="preserve">             </w:t>
      </w:r>
    </w:p>
    <w:p w14:paraId="20270B5B">
      <w:pPr>
        <w:pStyle w:val="114"/>
        <w:tabs>
          <w:tab w:val="left" w:pos="5665"/>
          <w:tab w:val="right" w:pos="8360"/>
        </w:tabs>
        <w:spacing w:line="400" w:lineRule="atLeast"/>
        <w:ind w:right="42" w:firstLine="2834" w:firstLineChars="1181"/>
        <w:rPr>
          <w:rFonts w:ascii="Times New Roman" w:hAnsi="Times New Roman" w:eastAsia="宋体"/>
          <w:sz w:val="24"/>
          <w:szCs w:val="24"/>
          <w:u w:val="single"/>
        </w:rPr>
      </w:pPr>
    </w:p>
    <w:p w14:paraId="1BB33AC8">
      <w:pPr>
        <w:pStyle w:val="114"/>
        <w:tabs>
          <w:tab w:val="left" w:pos="5665"/>
          <w:tab w:val="right" w:pos="8360"/>
        </w:tabs>
        <w:spacing w:line="400" w:lineRule="atLeast"/>
        <w:ind w:right="42" w:firstLine="2834" w:firstLineChars="1181"/>
        <w:rPr>
          <w:rFonts w:ascii="Times New Roman" w:hAnsi="Times New Roman"/>
        </w:rPr>
      </w:pPr>
      <w:r>
        <w:rPr>
          <w:rFonts w:ascii="Times New Roman" w:hAnsi="Times New Roman" w:eastAsia="宋体"/>
          <w:sz w:val="24"/>
          <w:szCs w:val="24"/>
        </w:rPr>
        <w:t xml:space="preserve">日 期：______________________    </w:t>
      </w:r>
    </w:p>
    <w:p w14:paraId="007E1C59">
      <w:pPr>
        <w:pStyle w:val="18"/>
        <w:ind w:left="63" w:right="63" w:firstLine="420"/>
      </w:pPr>
    </w:p>
    <w:p w14:paraId="15855905">
      <w:pPr>
        <w:pStyle w:val="19"/>
        <w:ind w:left="63" w:right="63" w:firstLine="280"/>
      </w:pPr>
    </w:p>
    <w:p w14:paraId="0E1373AD">
      <w:pPr>
        <w:ind w:firstLine="0" w:firstLineChars="0"/>
        <w:jc w:val="center"/>
        <w:outlineLvl w:val="1"/>
        <w:rPr>
          <w:rFonts w:eastAsia="黑体"/>
          <w:color w:val="000000" w:themeColor="text1"/>
          <w:sz w:val="32"/>
          <w:szCs w:val="20"/>
          <w14:textFill>
            <w14:solidFill>
              <w14:schemeClr w14:val="tx1"/>
            </w14:solidFill>
          </w14:textFill>
        </w:rPr>
      </w:pPr>
      <w:r>
        <w:br w:type="page"/>
      </w:r>
      <w:bookmarkStart w:id="257" w:name="_Toc29022"/>
      <w:bookmarkStart w:id="258" w:name="_Toc17341"/>
      <w:r>
        <w:rPr>
          <w:rFonts w:hint="eastAsia" w:eastAsia="黑体"/>
          <w:color w:val="000000" w:themeColor="text1"/>
          <w:sz w:val="32"/>
          <w:szCs w:val="20"/>
          <w:lang w:val="en-US" w:eastAsia="zh-CN"/>
          <w14:textFill>
            <w14:solidFill>
              <w14:schemeClr w14:val="tx1"/>
            </w14:solidFill>
          </w14:textFill>
        </w:rPr>
        <w:t>十一</w:t>
      </w:r>
      <w:r>
        <w:rPr>
          <w:rFonts w:eastAsia="黑体"/>
          <w:color w:val="000000" w:themeColor="text1"/>
          <w:sz w:val="32"/>
          <w:szCs w:val="20"/>
          <w14:textFill>
            <w14:solidFill>
              <w14:schemeClr w14:val="tx1"/>
            </w14:solidFill>
          </w14:textFill>
        </w:rPr>
        <w:t>、第三轮报价单（如有）</w:t>
      </w:r>
      <w:bookmarkEnd w:id="257"/>
      <w:bookmarkEnd w:id="258"/>
    </w:p>
    <w:p w14:paraId="63BAAB09">
      <w:pPr>
        <w:ind w:firstLine="0" w:firstLineChars="0"/>
        <w:jc w:val="center"/>
        <w:rPr>
          <w:b/>
          <w:bCs/>
          <w:sz w:val="28"/>
          <w:szCs w:val="28"/>
        </w:rPr>
      </w:pPr>
      <w:bookmarkStart w:id="259" w:name="_Toc13861"/>
      <w:bookmarkStart w:id="260" w:name="_Toc10965"/>
      <w:bookmarkStart w:id="261" w:name="_Toc12221"/>
      <w:bookmarkStart w:id="262" w:name="_Toc27458"/>
      <w:bookmarkStart w:id="263" w:name="_Toc32124"/>
      <w:bookmarkStart w:id="264" w:name="_Toc13871"/>
      <w:bookmarkStart w:id="265" w:name="_Toc18337"/>
      <w:bookmarkStart w:id="266" w:name="_Toc7603"/>
      <w:bookmarkStart w:id="267" w:name="_Toc20270"/>
      <w:bookmarkStart w:id="268" w:name="_Toc18063"/>
      <w:bookmarkStart w:id="269" w:name="_Toc15487"/>
      <w:bookmarkStart w:id="270" w:name="_Toc30044"/>
      <w:r>
        <w:t>（本附件初次报价响应文件不包括，标后由成交供应商向采购人书面提供）</w:t>
      </w:r>
      <w:bookmarkEnd w:id="259"/>
      <w:bookmarkEnd w:id="260"/>
      <w:bookmarkEnd w:id="261"/>
      <w:bookmarkEnd w:id="262"/>
      <w:bookmarkEnd w:id="263"/>
      <w:bookmarkEnd w:id="264"/>
      <w:bookmarkEnd w:id="265"/>
      <w:bookmarkEnd w:id="266"/>
      <w:bookmarkEnd w:id="267"/>
      <w:bookmarkEnd w:id="268"/>
      <w:bookmarkEnd w:id="269"/>
      <w:bookmarkEnd w:id="270"/>
    </w:p>
    <w:p w14:paraId="7FEF597D">
      <w:pPr>
        <w:pStyle w:val="114"/>
        <w:spacing w:line="400" w:lineRule="atLeast"/>
        <w:ind w:firstLine="480"/>
        <w:rPr>
          <w:rFonts w:ascii="Times New Roman" w:hAnsi="Times New Roman" w:eastAsia="宋体"/>
          <w:sz w:val="24"/>
          <w:szCs w:val="24"/>
        </w:rPr>
      </w:pPr>
    </w:p>
    <w:p w14:paraId="6C0A3D76">
      <w:pPr>
        <w:pStyle w:val="114"/>
        <w:spacing w:line="400" w:lineRule="atLeast"/>
        <w:ind w:firstLine="480"/>
        <w:rPr>
          <w:rFonts w:ascii="Times New Roman" w:hAnsi="Times New Roman" w:eastAsia="宋体"/>
          <w:sz w:val="24"/>
          <w:szCs w:val="24"/>
        </w:rPr>
      </w:pPr>
      <w:r>
        <w:rPr>
          <w:rFonts w:ascii="Times New Roman" w:hAnsi="Times New Roman" w:eastAsia="宋体"/>
          <w:sz w:val="24"/>
          <w:szCs w:val="24"/>
        </w:rPr>
        <w:t>致：</w:t>
      </w:r>
      <w:r>
        <w:rPr>
          <w:rFonts w:ascii="Times New Roman" w:hAnsi="Times New Roman" w:eastAsia="宋体"/>
          <w:sz w:val="24"/>
          <w:szCs w:val="24"/>
          <w:u w:val="single"/>
        </w:rPr>
        <w:t xml:space="preserve">  </w:t>
      </w:r>
      <w:r>
        <w:rPr>
          <w:rFonts w:ascii="Times New Roman" w:hAnsi="Times New Roman" w:eastAsia="宋体"/>
          <w:iCs/>
          <w:sz w:val="24"/>
          <w:szCs w:val="24"/>
          <w:u w:val="single"/>
        </w:rPr>
        <w:t>（采购人）</w:t>
      </w:r>
      <w:r>
        <w:rPr>
          <w:rFonts w:ascii="Times New Roman" w:hAnsi="Times New Roman" w:eastAsia="宋体"/>
          <w:sz w:val="24"/>
          <w:szCs w:val="24"/>
          <w:u w:val="single"/>
        </w:rPr>
        <w:t xml:space="preserve">   </w:t>
      </w:r>
    </w:p>
    <w:p w14:paraId="607695F5">
      <w:pPr>
        <w:spacing w:line="400" w:lineRule="atLeast"/>
        <w:ind w:firstLine="480"/>
        <w:rPr>
          <w:sz w:val="24"/>
        </w:rPr>
      </w:pPr>
    </w:p>
    <w:p w14:paraId="090A7230">
      <w:pPr>
        <w:spacing w:line="400" w:lineRule="atLeast"/>
        <w:ind w:firstLine="480"/>
        <w:rPr>
          <w:sz w:val="24"/>
        </w:rPr>
      </w:pPr>
      <w:r>
        <w:rPr>
          <w:sz w:val="24"/>
        </w:rPr>
        <w:t>我单位</w:t>
      </w:r>
      <w:r>
        <w:rPr>
          <w:sz w:val="24"/>
          <w:u w:val="single"/>
        </w:rPr>
        <w:t xml:space="preserve">    （供应商名称）      </w:t>
      </w:r>
      <w:r>
        <w:rPr>
          <w:sz w:val="24"/>
        </w:rPr>
        <w:t>经过认真分析研究，</w:t>
      </w:r>
      <w:r>
        <w:rPr>
          <w:sz w:val="24"/>
          <w:lang w:bidi="ar"/>
        </w:rPr>
        <w:t>愿以人民币（大写） __________元（RMB￥__________元），</w:t>
      </w:r>
      <w:r>
        <w:rPr>
          <w:sz w:val="24"/>
        </w:rPr>
        <w:t>作为</w:t>
      </w:r>
      <w:r>
        <w:rPr>
          <w:sz w:val="24"/>
          <w:u w:val="single"/>
        </w:rPr>
        <w:t xml:space="preserve">          （项目名称）            </w:t>
      </w:r>
      <w:r>
        <w:rPr>
          <w:sz w:val="24"/>
        </w:rPr>
        <w:t>的第三轮报价，并严格按照谈判文件要求完成本项目。</w:t>
      </w:r>
    </w:p>
    <w:p w14:paraId="47CCE36F">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69A23B37">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5F7A16FD">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01B35DEA">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481012D3">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1F3E3715">
      <w:pPr>
        <w:pStyle w:val="114"/>
        <w:tabs>
          <w:tab w:val="left" w:pos="5665"/>
          <w:tab w:val="right" w:pos="8360"/>
        </w:tabs>
        <w:spacing w:line="400" w:lineRule="atLeast"/>
        <w:ind w:right="42" w:firstLine="2834" w:firstLineChars="1181"/>
        <w:rPr>
          <w:rFonts w:ascii="Times New Roman" w:hAnsi="Times New Roman" w:eastAsia="宋体"/>
          <w:sz w:val="24"/>
          <w:szCs w:val="24"/>
        </w:rPr>
      </w:pPr>
      <w:r>
        <w:rPr>
          <w:rFonts w:ascii="Times New Roman" w:hAnsi="Times New Roman" w:eastAsia="宋体"/>
          <w:sz w:val="24"/>
          <w:szCs w:val="24"/>
        </w:rPr>
        <w:t>供应商：（加盖公章）</w:t>
      </w:r>
    </w:p>
    <w:p w14:paraId="3179319F">
      <w:pPr>
        <w:pStyle w:val="114"/>
        <w:tabs>
          <w:tab w:val="left" w:pos="5665"/>
          <w:tab w:val="right" w:pos="8360"/>
        </w:tabs>
        <w:spacing w:line="400" w:lineRule="atLeast"/>
        <w:ind w:right="42" w:firstLine="2834" w:firstLineChars="1181"/>
        <w:rPr>
          <w:rFonts w:ascii="Times New Roman" w:hAnsi="Times New Roman" w:eastAsia="宋体"/>
          <w:sz w:val="24"/>
          <w:szCs w:val="24"/>
        </w:rPr>
      </w:pPr>
    </w:p>
    <w:p w14:paraId="6A072ABF">
      <w:pPr>
        <w:pStyle w:val="114"/>
        <w:tabs>
          <w:tab w:val="left" w:pos="5665"/>
          <w:tab w:val="right" w:pos="8360"/>
        </w:tabs>
        <w:spacing w:line="400" w:lineRule="atLeast"/>
        <w:ind w:right="42" w:firstLine="2834" w:firstLineChars="1181"/>
        <w:rPr>
          <w:rFonts w:ascii="Times New Roman" w:hAnsi="Times New Roman" w:eastAsia="宋体"/>
          <w:sz w:val="24"/>
          <w:szCs w:val="24"/>
          <w:u w:val="single"/>
        </w:rPr>
      </w:pPr>
      <w:r>
        <w:rPr>
          <w:rFonts w:ascii="Times New Roman" w:hAnsi="Times New Roman" w:eastAsia="宋体"/>
          <w:sz w:val="24"/>
          <w:szCs w:val="24"/>
        </w:rPr>
        <w:t>法人代表或授权委托人（签字）：</w:t>
      </w:r>
      <w:r>
        <w:rPr>
          <w:rFonts w:ascii="Times New Roman" w:hAnsi="Times New Roman" w:eastAsia="宋体"/>
          <w:sz w:val="24"/>
          <w:szCs w:val="24"/>
          <w:u w:val="single"/>
        </w:rPr>
        <w:t xml:space="preserve">             </w:t>
      </w:r>
    </w:p>
    <w:p w14:paraId="7E28392A">
      <w:pPr>
        <w:pStyle w:val="114"/>
        <w:tabs>
          <w:tab w:val="left" w:pos="5665"/>
          <w:tab w:val="right" w:pos="8360"/>
        </w:tabs>
        <w:spacing w:line="400" w:lineRule="atLeast"/>
        <w:ind w:right="42" w:firstLine="2834" w:firstLineChars="1181"/>
        <w:rPr>
          <w:rFonts w:ascii="Times New Roman" w:hAnsi="Times New Roman" w:eastAsia="宋体"/>
          <w:sz w:val="24"/>
          <w:szCs w:val="24"/>
          <w:u w:val="single"/>
        </w:rPr>
      </w:pPr>
    </w:p>
    <w:p w14:paraId="50C11C6D">
      <w:pPr>
        <w:pStyle w:val="114"/>
        <w:tabs>
          <w:tab w:val="left" w:pos="5665"/>
          <w:tab w:val="right" w:pos="8360"/>
        </w:tabs>
        <w:spacing w:line="400" w:lineRule="atLeast"/>
        <w:ind w:right="42" w:firstLine="2834" w:firstLineChars="1181"/>
        <w:rPr>
          <w:rFonts w:ascii="Times New Roman" w:hAnsi="Times New Roman"/>
        </w:rPr>
      </w:pPr>
      <w:r>
        <w:rPr>
          <w:rFonts w:ascii="Times New Roman" w:hAnsi="Times New Roman" w:eastAsia="宋体"/>
          <w:sz w:val="24"/>
          <w:szCs w:val="24"/>
        </w:rPr>
        <w:t xml:space="preserve">日 期：______________________    </w:t>
      </w:r>
    </w:p>
    <w:p w14:paraId="3A280D0E">
      <w:pPr>
        <w:pStyle w:val="18"/>
        <w:ind w:left="63" w:right="63" w:firstLine="420"/>
      </w:pPr>
    </w:p>
    <w:p w14:paraId="6C2AD37D">
      <w:pPr>
        <w:pStyle w:val="114"/>
        <w:tabs>
          <w:tab w:val="left" w:pos="5665"/>
          <w:tab w:val="right" w:pos="8360"/>
        </w:tabs>
        <w:spacing w:line="400" w:lineRule="atLeast"/>
        <w:ind w:right="42" w:firstLine="3070" w:firstLineChars="1181"/>
        <w:rPr>
          <w:rFonts w:ascii="Times New Roman" w:hAnsi="Times New Roman"/>
        </w:rPr>
      </w:pPr>
    </w:p>
    <w:p w14:paraId="1E4C19D5">
      <w:pPr>
        <w:pStyle w:val="19"/>
        <w:ind w:left="63" w:right="63" w:firstLine="280"/>
      </w:pPr>
    </w:p>
    <w:p w14:paraId="622522BD">
      <w:pPr>
        <w:ind w:firstLine="0" w:firstLineChars="0"/>
      </w:pPr>
    </w:p>
    <w:sectPr>
      <w:pgSz w:w="11905" w:h="16838"/>
      <w:pgMar w:top="1440" w:right="1803" w:bottom="1440" w:left="1803" w:header="850"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CBD2D1-4A9D-43BF-88D6-2AAD50D36D1F}"/>
  </w:font>
  <w:font w:name="黑体">
    <w:panose1 w:val="02010609060101010101"/>
    <w:charset w:val="86"/>
    <w:family w:val="auto"/>
    <w:pitch w:val="default"/>
    <w:sig w:usb0="800002BF" w:usb1="38CF7CFA" w:usb2="00000016" w:usb3="00000000" w:csb0="00040001" w:csb1="00000000"/>
    <w:embedRegular r:id="rId2" w:fontKey="{5437DAC1-F1F4-4EBD-B968-E22819D7C8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embedRegular r:id="rId3" w:fontKey="{84259525-38EF-4FB5-864D-EBC80D4AFD47}"/>
  </w:font>
  <w:font w:name="微软雅黑">
    <w:panose1 w:val="020B0503020204020204"/>
    <w:charset w:val="86"/>
    <w:family w:val="swiss"/>
    <w:pitch w:val="default"/>
    <w:sig w:usb0="80000287" w:usb1="2ACF3C50" w:usb2="00000016" w:usb3="00000000" w:csb0="0004001F" w:csb1="00000000"/>
    <w:embedRegular r:id="rId4" w:fontKey="{25BEF7CE-F7F9-45F3-9330-5819FBAD2CB1}"/>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2DE1">
    <w:pPr>
      <w:pStyle w:val="32"/>
      <w:ind w:firstLine="360"/>
      <w:jc w:val="right"/>
    </w:pPr>
  </w:p>
  <w:p w14:paraId="4FF8F9FF">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24FC">
    <w:pPr>
      <w:pStyle w:val="32"/>
      <w:ind w:firstLine="360"/>
      <w:jc w:val="right"/>
    </w:pPr>
  </w:p>
  <w:p w14:paraId="30378EA5">
    <w:pPr>
      <w:pStyle w:val="32"/>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7EC1">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D616">
    <w:pPr>
      <w:snapToGrid w:val="0"/>
      <w:ind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3083">
                          <w:pPr>
                            <w:pStyle w:val="32"/>
                            <w:ind w:firstLine="0" w:firstLineChars="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03A3083">
                    <w:pPr>
                      <w:pStyle w:val="32"/>
                      <w:ind w:firstLine="0" w:firstLineChars="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D79F">
    <w:pPr>
      <w:spacing w:line="198" w:lineRule="auto"/>
      <w:ind w:left="3550" w:firstLine="360"/>
      <w:rPr>
        <w:rFonts w:ascii="微软雅黑" w:hAnsi="微软雅黑" w:eastAsia="微软雅黑" w:cs="微软雅黑"/>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D8195">
                          <w:pPr>
                            <w:pStyle w:val="32"/>
                            <w:ind w:firstLine="36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85D8195">
                    <w:pPr>
                      <w:pStyle w:val="32"/>
                      <w:ind w:firstLine="36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ascii="微软雅黑" w:hAnsi="微软雅黑" w:eastAsia="微软雅黑" w:cs="微软雅黑"/>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09B1">
    <w:pPr>
      <w:pStyle w:val="3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972B6">
                          <w:pPr>
                            <w:pStyle w:val="32"/>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D1972B6">
                    <w:pPr>
                      <w:pStyle w:val="32"/>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BD12">
    <w:pPr>
      <w:pStyle w:val="32"/>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0C4FF">
                          <w:pPr>
                            <w:pStyle w:val="32"/>
                            <w:ind w:firstLine="0" w:firstLineChars="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40C4FF">
                    <w:pPr>
                      <w:pStyle w:val="32"/>
                      <w:ind w:firstLine="0" w:firstLineChars="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D63B">
    <w:pPr>
      <w:pStyle w:val="32"/>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FAFE2">
                          <w:pPr>
                            <w:pStyle w:val="32"/>
                            <w:ind w:firstLine="0" w:firstLineChars="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AFAFE2">
                    <w:pPr>
                      <w:pStyle w:val="32"/>
                      <w:ind w:firstLine="0" w:firstLineChars="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30B3">
    <w:pPr>
      <w:pStyle w:val="3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7BDB">
    <w:pPr>
      <w:pStyle w:val="33"/>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BC5C">
    <w:pPr>
      <w:pStyle w:val="3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E405">
    <w:pPr>
      <w:pStyle w:val="33"/>
      <w:pBdr>
        <w:bottom w:val="none" w:color="auto" w:sz="0" w:space="1"/>
      </w:pBdr>
      <w:ind w:firstLine="360"/>
      <w:rPr>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CCC1">
    <w:pPr>
      <w:pStyle w:val="33"/>
      <w:pBdr>
        <w:bottom w:val="none" w:color="auto" w:sz="0" w:space="0"/>
      </w:pBdr>
      <w:ind w:firstLine="360"/>
    </w:pPr>
  </w:p>
  <w:p w14:paraId="589BA71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AD876"/>
    <w:multiLevelType w:val="singleLevel"/>
    <w:tmpl w:val="A20AD876"/>
    <w:lvl w:ilvl="0" w:tentative="0">
      <w:start w:val="11"/>
      <w:numFmt w:val="chineseCounting"/>
      <w:suff w:val="nothing"/>
      <w:lvlText w:val="%1、"/>
      <w:lvlJc w:val="left"/>
      <w:rPr>
        <w:rFonts w:hint="eastAsia"/>
      </w:rPr>
    </w:lvl>
  </w:abstractNum>
  <w:abstractNum w:abstractNumId="1">
    <w:nsid w:val="06A8C5D3"/>
    <w:multiLevelType w:val="singleLevel"/>
    <w:tmpl w:val="06A8C5D3"/>
    <w:lvl w:ilvl="0" w:tentative="0">
      <w:start w:val="1"/>
      <w:numFmt w:val="chineseCounting"/>
      <w:suff w:val="space"/>
      <w:lvlText w:val="第%1章"/>
      <w:lvlJc w:val="left"/>
      <w:rPr>
        <w:rFonts w:hint="eastAsia"/>
      </w:rPr>
    </w:lvl>
  </w:abstractNum>
  <w:abstractNum w:abstractNumId="2">
    <w:nsid w:val="3254E95F"/>
    <w:multiLevelType w:val="singleLevel"/>
    <w:tmpl w:val="3254E95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7A7404F7"/>
    <w:multiLevelType w:val="multilevel"/>
    <w:tmpl w:val="7A7404F7"/>
    <w:lvl w:ilvl="0" w:tentative="0">
      <w:start w:val="5"/>
      <w:numFmt w:val="japaneseCounting"/>
      <w:pStyle w:val="21"/>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GU1NWY5ZmIwOTAwNmMzNTRmYzQ1YTc1NWNlZTUifQ=="/>
  </w:docVars>
  <w:rsids>
    <w:rsidRoot w:val="001F5DFC"/>
    <w:rsid w:val="00001EEC"/>
    <w:rsid w:val="00006462"/>
    <w:rsid w:val="00006D68"/>
    <w:rsid w:val="00007766"/>
    <w:rsid w:val="00014DC4"/>
    <w:rsid w:val="00014DFD"/>
    <w:rsid w:val="00022360"/>
    <w:rsid w:val="0002247A"/>
    <w:rsid w:val="000260CC"/>
    <w:rsid w:val="00027439"/>
    <w:rsid w:val="00027B7C"/>
    <w:rsid w:val="00031AC4"/>
    <w:rsid w:val="00041D92"/>
    <w:rsid w:val="00043ED2"/>
    <w:rsid w:val="000461E2"/>
    <w:rsid w:val="00047E4F"/>
    <w:rsid w:val="00047F74"/>
    <w:rsid w:val="00051006"/>
    <w:rsid w:val="00051BEF"/>
    <w:rsid w:val="00052819"/>
    <w:rsid w:val="000541D1"/>
    <w:rsid w:val="000551B4"/>
    <w:rsid w:val="000557D1"/>
    <w:rsid w:val="00056ED8"/>
    <w:rsid w:val="00060C2B"/>
    <w:rsid w:val="00070788"/>
    <w:rsid w:val="000727FF"/>
    <w:rsid w:val="00073D95"/>
    <w:rsid w:val="0007497A"/>
    <w:rsid w:val="00074AD8"/>
    <w:rsid w:val="00074C7D"/>
    <w:rsid w:val="00076BE2"/>
    <w:rsid w:val="0007710F"/>
    <w:rsid w:val="000803B0"/>
    <w:rsid w:val="00083600"/>
    <w:rsid w:val="0008391E"/>
    <w:rsid w:val="0009044C"/>
    <w:rsid w:val="000935DF"/>
    <w:rsid w:val="00093FB2"/>
    <w:rsid w:val="000951CF"/>
    <w:rsid w:val="000963A3"/>
    <w:rsid w:val="00097DBC"/>
    <w:rsid w:val="000A056F"/>
    <w:rsid w:val="000A5067"/>
    <w:rsid w:val="000A7F6D"/>
    <w:rsid w:val="000B0D1B"/>
    <w:rsid w:val="000C0326"/>
    <w:rsid w:val="000C1B8D"/>
    <w:rsid w:val="000C5D40"/>
    <w:rsid w:val="000C75C3"/>
    <w:rsid w:val="000D16A8"/>
    <w:rsid w:val="000D262D"/>
    <w:rsid w:val="000D2B20"/>
    <w:rsid w:val="000D2FC8"/>
    <w:rsid w:val="000E0A40"/>
    <w:rsid w:val="000E1795"/>
    <w:rsid w:val="000E242C"/>
    <w:rsid w:val="000E5E15"/>
    <w:rsid w:val="000E7713"/>
    <w:rsid w:val="000F12BB"/>
    <w:rsid w:val="000F1BB0"/>
    <w:rsid w:val="000F1DC3"/>
    <w:rsid w:val="000F23DE"/>
    <w:rsid w:val="000F2EFC"/>
    <w:rsid w:val="000F3270"/>
    <w:rsid w:val="000F49AD"/>
    <w:rsid w:val="000F551D"/>
    <w:rsid w:val="000F5574"/>
    <w:rsid w:val="001001BA"/>
    <w:rsid w:val="00103BB6"/>
    <w:rsid w:val="00105EE9"/>
    <w:rsid w:val="0011406C"/>
    <w:rsid w:val="00114443"/>
    <w:rsid w:val="0011684E"/>
    <w:rsid w:val="00117456"/>
    <w:rsid w:val="00117FCF"/>
    <w:rsid w:val="001244E0"/>
    <w:rsid w:val="001246A7"/>
    <w:rsid w:val="001269C0"/>
    <w:rsid w:val="00126C8F"/>
    <w:rsid w:val="001304D0"/>
    <w:rsid w:val="00131974"/>
    <w:rsid w:val="00132132"/>
    <w:rsid w:val="00132E3C"/>
    <w:rsid w:val="001352DC"/>
    <w:rsid w:val="00136908"/>
    <w:rsid w:val="0014003E"/>
    <w:rsid w:val="00144530"/>
    <w:rsid w:val="00144828"/>
    <w:rsid w:val="00151FE8"/>
    <w:rsid w:val="00152A8E"/>
    <w:rsid w:val="0015332C"/>
    <w:rsid w:val="001543FF"/>
    <w:rsid w:val="00163014"/>
    <w:rsid w:val="00163B44"/>
    <w:rsid w:val="00163C39"/>
    <w:rsid w:val="0016461B"/>
    <w:rsid w:val="00164C7D"/>
    <w:rsid w:val="0016676D"/>
    <w:rsid w:val="00166F8A"/>
    <w:rsid w:val="0017101F"/>
    <w:rsid w:val="00172A97"/>
    <w:rsid w:val="00175417"/>
    <w:rsid w:val="0018058D"/>
    <w:rsid w:val="001823B2"/>
    <w:rsid w:val="00182982"/>
    <w:rsid w:val="00192C74"/>
    <w:rsid w:val="00193950"/>
    <w:rsid w:val="001957F8"/>
    <w:rsid w:val="001A1116"/>
    <w:rsid w:val="001A2618"/>
    <w:rsid w:val="001A28CB"/>
    <w:rsid w:val="001A4493"/>
    <w:rsid w:val="001A61BB"/>
    <w:rsid w:val="001A67DA"/>
    <w:rsid w:val="001A7B3E"/>
    <w:rsid w:val="001B1746"/>
    <w:rsid w:val="001B4B40"/>
    <w:rsid w:val="001B5793"/>
    <w:rsid w:val="001B63C0"/>
    <w:rsid w:val="001C1C98"/>
    <w:rsid w:val="001C31E3"/>
    <w:rsid w:val="001C5887"/>
    <w:rsid w:val="001C6ABE"/>
    <w:rsid w:val="001C6CB8"/>
    <w:rsid w:val="001D1468"/>
    <w:rsid w:val="001D7DB3"/>
    <w:rsid w:val="001E0B87"/>
    <w:rsid w:val="001E1517"/>
    <w:rsid w:val="001E289B"/>
    <w:rsid w:val="001E2F72"/>
    <w:rsid w:val="001E4A13"/>
    <w:rsid w:val="001E6F22"/>
    <w:rsid w:val="001F4CB4"/>
    <w:rsid w:val="001F5DFC"/>
    <w:rsid w:val="001F7042"/>
    <w:rsid w:val="0020080E"/>
    <w:rsid w:val="00204075"/>
    <w:rsid w:val="0020478E"/>
    <w:rsid w:val="00204CC3"/>
    <w:rsid w:val="00205C33"/>
    <w:rsid w:val="00206DE5"/>
    <w:rsid w:val="00207366"/>
    <w:rsid w:val="00207802"/>
    <w:rsid w:val="002118A2"/>
    <w:rsid w:val="00213DFC"/>
    <w:rsid w:val="002150E2"/>
    <w:rsid w:val="00221DBB"/>
    <w:rsid w:val="00223348"/>
    <w:rsid w:val="00223BB5"/>
    <w:rsid w:val="00223FBC"/>
    <w:rsid w:val="00225264"/>
    <w:rsid w:val="00225827"/>
    <w:rsid w:val="002277BD"/>
    <w:rsid w:val="00231698"/>
    <w:rsid w:val="00233868"/>
    <w:rsid w:val="0023618C"/>
    <w:rsid w:val="00236EE5"/>
    <w:rsid w:val="00240015"/>
    <w:rsid w:val="0024084A"/>
    <w:rsid w:val="002409DA"/>
    <w:rsid w:val="00243994"/>
    <w:rsid w:val="00243A63"/>
    <w:rsid w:val="00244E9B"/>
    <w:rsid w:val="0024603E"/>
    <w:rsid w:val="00246456"/>
    <w:rsid w:val="002530DB"/>
    <w:rsid w:val="0025334B"/>
    <w:rsid w:val="00254137"/>
    <w:rsid w:val="00254166"/>
    <w:rsid w:val="002621A4"/>
    <w:rsid w:val="00263E5D"/>
    <w:rsid w:val="002640E8"/>
    <w:rsid w:val="00264F2E"/>
    <w:rsid w:val="002657A4"/>
    <w:rsid w:val="002658FD"/>
    <w:rsid w:val="00266A46"/>
    <w:rsid w:val="002676F2"/>
    <w:rsid w:val="002679A8"/>
    <w:rsid w:val="00270E94"/>
    <w:rsid w:val="00273A4A"/>
    <w:rsid w:val="00276B89"/>
    <w:rsid w:val="00277512"/>
    <w:rsid w:val="00280BBA"/>
    <w:rsid w:val="0028146F"/>
    <w:rsid w:val="00281A95"/>
    <w:rsid w:val="00282B4E"/>
    <w:rsid w:val="00285860"/>
    <w:rsid w:val="002866D9"/>
    <w:rsid w:val="00290B3C"/>
    <w:rsid w:val="00291395"/>
    <w:rsid w:val="00293EA1"/>
    <w:rsid w:val="0029586B"/>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1DDF"/>
    <w:rsid w:val="002C2104"/>
    <w:rsid w:val="002C2790"/>
    <w:rsid w:val="002C44F1"/>
    <w:rsid w:val="002C52E8"/>
    <w:rsid w:val="002D0602"/>
    <w:rsid w:val="002D0FB0"/>
    <w:rsid w:val="002D45CF"/>
    <w:rsid w:val="002D769D"/>
    <w:rsid w:val="002E02A2"/>
    <w:rsid w:val="002E0E66"/>
    <w:rsid w:val="002E2CF6"/>
    <w:rsid w:val="002E3F29"/>
    <w:rsid w:val="002E41F2"/>
    <w:rsid w:val="002E7945"/>
    <w:rsid w:val="002F00BD"/>
    <w:rsid w:val="002F066A"/>
    <w:rsid w:val="002F54BA"/>
    <w:rsid w:val="002F6BB2"/>
    <w:rsid w:val="002F71A7"/>
    <w:rsid w:val="00300389"/>
    <w:rsid w:val="003035EF"/>
    <w:rsid w:val="00305943"/>
    <w:rsid w:val="003068C2"/>
    <w:rsid w:val="00310173"/>
    <w:rsid w:val="00310B37"/>
    <w:rsid w:val="00310BFC"/>
    <w:rsid w:val="00312A45"/>
    <w:rsid w:val="00313CBE"/>
    <w:rsid w:val="0031470B"/>
    <w:rsid w:val="00315BCC"/>
    <w:rsid w:val="00317420"/>
    <w:rsid w:val="00320317"/>
    <w:rsid w:val="003225D8"/>
    <w:rsid w:val="00324815"/>
    <w:rsid w:val="0032646E"/>
    <w:rsid w:val="003308F2"/>
    <w:rsid w:val="003352E1"/>
    <w:rsid w:val="00335CB0"/>
    <w:rsid w:val="00336D49"/>
    <w:rsid w:val="003377B5"/>
    <w:rsid w:val="00340054"/>
    <w:rsid w:val="00342053"/>
    <w:rsid w:val="00344D07"/>
    <w:rsid w:val="003459E5"/>
    <w:rsid w:val="00347AE3"/>
    <w:rsid w:val="00351B0D"/>
    <w:rsid w:val="0035447D"/>
    <w:rsid w:val="00354D36"/>
    <w:rsid w:val="00360113"/>
    <w:rsid w:val="00360AC6"/>
    <w:rsid w:val="00361D50"/>
    <w:rsid w:val="00363CA5"/>
    <w:rsid w:val="00364237"/>
    <w:rsid w:val="00364B3F"/>
    <w:rsid w:val="003661A4"/>
    <w:rsid w:val="003745AC"/>
    <w:rsid w:val="00374939"/>
    <w:rsid w:val="00377DF0"/>
    <w:rsid w:val="003820F8"/>
    <w:rsid w:val="00386AF9"/>
    <w:rsid w:val="003920E9"/>
    <w:rsid w:val="00393A41"/>
    <w:rsid w:val="00394CF6"/>
    <w:rsid w:val="003958E6"/>
    <w:rsid w:val="00395DE9"/>
    <w:rsid w:val="003961E4"/>
    <w:rsid w:val="0039679C"/>
    <w:rsid w:val="00397E46"/>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5CAC"/>
    <w:rsid w:val="003C7191"/>
    <w:rsid w:val="003D0330"/>
    <w:rsid w:val="003D1C36"/>
    <w:rsid w:val="003D2128"/>
    <w:rsid w:val="003D60EB"/>
    <w:rsid w:val="003E0EFF"/>
    <w:rsid w:val="003E338F"/>
    <w:rsid w:val="003E4A39"/>
    <w:rsid w:val="003F4BE9"/>
    <w:rsid w:val="003F5B16"/>
    <w:rsid w:val="003F7521"/>
    <w:rsid w:val="003F7778"/>
    <w:rsid w:val="00400028"/>
    <w:rsid w:val="004009AC"/>
    <w:rsid w:val="00403793"/>
    <w:rsid w:val="00403BED"/>
    <w:rsid w:val="00404B1C"/>
    <w:rsid w:val="00411357"/>
    <w:rsid w:val="0041225F"/>
    <w:rsid w:val="00413564"/>
    <w:rsid w:val="00415EDB"/>
    <w:rsid w:val="004167BD"/>
    <w:rsid w:val="00417DB9"/>
    <w:rsid w:val="00421642"/>
    <w:rsid w:val="004235F3"/>
    <w:rsid w:val="00426FF0"/>
    <w:rsid w:val="00430C64"/>
    <w:rsid w:val="0043181A"/>
    <w:rsid w:val="00431A67"/>
    <w:rsid w:val="00432FA1"/>
    <w:rsid w:val="00433295"/>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663FB"/>
    <w:rsid w:val="004710E6"/>
    <w:rsid w:val="00471851"/>
    <w:rsid w:val="004751F8"/>
    <w:rsid w:val="004760B7"/>
    <w:rsid w:val="00482A0D"/>
    <w:rsid w:val="0048461D"/>
    <w:rsid w:val="004858EA"/>
    <w:rsid w:val="00487CDE"/>
    <w:rsid w:val="0049180C"/>
    <w:rsid w:val="00492AD4"/>
    <w:rsid w:val="00492F46"/>
    <w:rsid w:val="00493DA0"/>
    <w:rsid w:val="004946E0"/>
    <w:rsid w:val="004950E8"/>
    <w:rsid w:val="004957D7"/>
    <w:rsid w:val="004A0904"/>
    <w:rsid w:val="004A60DF"/>
    <w:rsid w:val="004A6332"/>
    <w:rsid w:val="004B0C03"/>
    <w:rsid w:val="004B37C9"/>
    <w:rsid w:val="004B6066"/>
    <w:rsid w:val="004B70A1"/>
    <w:rsid w:val="004B713E"/>
    <w:rsid w:val="004C1F22"/>
    <w:rsid w:val="004C47E7"/>
    <w:rsid w:val="004C7CE2"/>
    <w:rsid w:val="004D0F52"/>
    <w:rsid w:val="004D387F"/>
    <w:rsid w:val="004D6676"/>
    <w:rsid w:val="004D752E"/>
    <w:rsid w:val="004E0615"/>
    <w:rsid w:val="004E297F"/>
    <w:rsid w:val="004E5FEE"/>
    <w:rsid w:val="004F001D"/>
    <w:rsid w:val="004F08E2"/>
    <w:rsid w:val="004F4725"/>
    <w:rsid w:val="004F50B7"/>
    <w:rsid w:val="004F5949"/>
    <w:rsid w:val="004F5EE5"/>
    <w:rsid w:val="004F7911"/>
    <w:rsid w:val="0050095F"/>
    <w:rsid w:val="00501CC7"/>
    <w:rsid w:val="005027D9"/>
    <w:rsid w:val="00503D78"/>
    <w:rsid w:val="005051E5"/>
    <w:rsid w:val="00507F61"/>
    <w:rsid w:val="0051028F"/>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86758"/>
    <w:rsid w:val="0059507D"/>
    <w:rsid w:val="00595711"/>
    <w:rsid w:val="00595DD2"/>
    <w:rsid w:val="005A16DB"/>
    <w:rsid w:val="005A2640"/>
    <w:rsid w:val="005A32FA"/>
    <w:rsid w:val="005A4CEC"/>
    <w:rsid w:val="005A68D5"/>
    <w:rsid w:val="005A7180"/>
    <w:rsid w:val="005B0EC5"/>
    <w:rsid w:val="005B358E"/>
    <w:rsid w:val="005B4572"/>
    <w:rsid w:val="005B494F"/>
    <w:rsid w:val="005B4E05"/>
    <w:rsid w:val="005B4E0C"/>
    <w:rsid w:val="005B65B2"/>
    <w:rsid w:val="005B7D13"/>
    <w:rsid w:val="005B7E93"/>
    <w:rsid w:val="005C4799"/>
    <w:rsid w:val="005C4D29"/>
    <w:rsid w:val="005D2A0E"/>
    <w:rsid w:val="005D2C0E"/>
    <w:rsid w:val="005D4121"/>
    <w:rsid w:val="005D49D2"/>
    <w:rsid w:val="005D49E7"/>
    <w:rsid w:val="005D5539"/>
    <w:rsid w:val="005D5ADD"/>
    <w:rsid w:val="005D5B25"/>
    <w:rsid w:val="005D69F1"/>
    <w:rsid w:val="005D6A68"/>
    <w:rsid w:val="005D72B2"/>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140BE"/>
    <w:rsid w:val="0062060A"/>
    <w:rsid w:val="00623E71"/>
    <w:rsid w:val="00627439"/>
    <w:rsid w:val="00632354"/>
    <w:rsid w:val="00633CD3"/>
    <w:rsid w:val="00635E23"/>
    <w:rsid w:val="00636F3D"/>
    <w:rsid w:val="00637503"/>
    <w:rsid w:val="006409FD"/>
    <w:rsid w:val="00642156"/>
    <w:rsid w:val="0064264E"/>
    <w:rsid w:val="00643659"/>
    <w:rsid w:val="006442B5"/>
    <w:rsid w:val="0064498F"/>
    <w:rsid w:val="00647BB3"/>
    <w:rsid w:val="006507A0"/>
    <w:rsid w:val="006522A4"/>
    <w:rsid w:val="006522E5"/>
    <w:rsid w:val="00660FE9"/>
    <w:rsid w:val="00662C97"/>
    <w:rsid w:val="00665E7C"/>
    <w:rsid w:val="0067112F"/>
    <w:rsid w:val="006733EF"/>
    <w:rsid w:val="00675AA9"/>
    <w:rsid w:val="00675FFD"/>
    <w:rsid w:val="00681408"/>
    <w:rsid w:val="006818A0"/>
    <w:rsid w:val="00681EC1"/>
    <w:rsid w:val="00682E5B"/>
    <w:rsid w:val="00683279"/>
    <w:rsid w:val="00684A18"/>
    <w:rsid w:val="0068511D"/>
    <w:rsid w:val="006856AE"/>
    <w:rsid w:val="006869A6"/>
    <w:rsid w:val="00687871"/>
    <w:rsid w:val="006878A3"/>
    <w:rsid w:val="00695414"/>
    <w:rsid w:val="006A303E"/>
    <w:rsid w:val="006A560E"/>
    <w:rsid w:val="006A6044"/>
    <w:rsid w:val="006A6D92"/>
    <w:rsid w:val="006B0440"/>
    <w:rsid w:val="006B0529"/>
    <w:rsid w:val="006B2E8C"/>
    <w:rsid w:val="006B3925"/>
    <w:rsid w:val="006B3D41"/>
    <w:rsid w:val="006B5C28"/>
    <w:rsid w:val="006B7E44"/>
    <w:rsid w:val="006C58D6"/>
    <w:rsid w:val="006C68DA"/>
    <w:rsid w:val="006C6BFE"/>
    <w:rsid w:val="006C70DA"/>
    <w:rsid w:val="006C718C"/>
    <w:rsid w:val="006D021F"/>
    <w:rsid w:val="006D0551"/>
    <w:rsid w:val="006D0A74"/>
    <w:rsid w:val="006D2C2C"/>
    <w:rsid w:val="006D37E4"/>
    <w:rsid w:val="006D4612"/>
    <w:rsid w:val="006D4ED8"/>
    <w:rsid w:val="006D6F09"/>
    <w:rsid w:val="006E2CBA"/>
    <w:rsid w:val="006E629A"/>
    <w:rsid w:val="006E6438"/>
    <w:rsid w:val="006E65EC"/>
    <w:rsid w:val="006E6EB0"/>
    <w:rsid w:val="006F0C78"/>
    <w:rsid w:val="006F11D9"/>
    <w:rsid w:val="006F13C9"/>
    <w:rsid w:val="006F6131"/>
    <w:rsid w:val="00707268"/>
    <w:rsid w:val="00710F2F"/>
    <w:rsid w:val="007113B0"/>
    <w:rsid w:val="00712587"/>
    <w:rsid w:val="0071312A"/>
    <w:rsid w:val="0071399F"/>
    <w:rsid w:val="00713E1E"/>
    <w:rsid w:val="0071757D"/>
    <w:rsid w:val="0072110E"/>
    <w:rsid w:val="0072272C"/>
    <w:rsid w:val="0072413F"/>
    <w:rsid w:val="00725382"/>
    <w:rsid w:val="00725A47"/>
    <w:rsid w:val="0073176C"/>
    <w:rsid w:val="00732CAC"/>
    <w:rsid w:val="00732F89"/>
    <w:rsid w:val="00733C04"/>
    <w:rsid w:val="007352AB"/>
    <w:rsid w:val="00735F73"/>
    <w:rsid w:val="00736229"/>
    <w:rsid w:val="00736D64"/>
    <w:rsid w:val="00737175"/>
    <w:rsid w:val="00742D1B"/>
    <w:rsid w:val="00747C8E"/>
    <w:rsid w:val="00747CED"/>
    <w:rsid w:val="00750198"/>
    <w:rsid w:val="00752FF7"/>
    <w:rsid w:val="00754789"/>
    <w:rsid w:val="00755345"/>
    <w:rsid w:val="00755B1F"/>
    <w:rsid w:val="00757802"/>
    <w:rsid w:val="007601D6"/>
    <w:rsid w:val="00764188"/>
    <w:rsid w:val="00767640"/>
    <w:rsid w:val="00772520"/>
    <w:rsid w:val="0077605C"/>
    <w:rsid w:val="00777FBF"/>
    <w:rsid w:val="00783B1E"/>
    <w:rsid w:val="00785921"/>
    <w:rsid w:val="00785FCF"/>
    <w:rsid w:val="00787B6B"/>
    <w:rsid w:val="00790D48"/>
    <w:rsid w:val="007912EE"/>
    <w:rsid w:val="00791D7C"/>
    <w:rsid w:val="00793C22"/>
    <w:rsid w:val="007944C0"/>
    <w:rsid w:val="0079457E"/>
    <w:rsid w:val="00796AC3"/>
    <w:rsid w:val="00796D43"/>
    <w:rsid w:val="007A0E41"/>
    <w:rsid w:val="007A0E97"/>
    <w:rsid w:val="007A2AA1"/>
    <w:rsid w:val="007A2FFD"/>
    <w:rsid w:val="007A4159"/>
    <w:rsid w:val="007A64E0"/>
    <w:rsid w:val="007B4EAF"/>
    <w:rsid w:val="007B532B"/>
    <w:rsid w:val="007B554E"/>
    <w:rsid w:val="007B6757"/>
    <w:rsid w:val="007B7E68"/>
    <w:rsid w:val="007C296C"/>
    <w:rsid w:val="007C4D34"/>
    <w:rsid w:val="007C531B"/>
    <w:rsid w:val="007C54B5"/>
    <w:rsid w:val="007C5E20"/>
    <w:rsid w:val="007C71D8"/>
    <w:rsid w:val="007C7741"/>
    <w:rsid w:val="007D1A45"/>
    <w:rsid w:val="007D2FA1"/>
    <w:rsid w:val="007D49AB"/>
    <w:rsid w:val="007D4EE3"/>
    <w:rsid w:val="007D582A"/>
    <w:rsid w:val="007D69E0"/>
    <w:rsid w:val="007D7BDD"/>
    <w:rsid w:val="007E0CD6"/>
    <w:rsid w:val="007E32C3"/>
    <w:rsid w:val="007E73B3"/>
    <w:rsid w:val="007F033D"/>
    <w:rsid w:val="007F1DA9"/>
    <w:rsid w:val="007F2C56"/>
    <w:rsid w:val="007F44F1"/>
    <w:rsid w:val="007F4C12"/>
    <w:rsid w:val="007F58A5"/>
    <w:rsid w:val="007F6285"/>
    <w:rsid w:val="007F6312"/>
    <w:rsid w:val="007F69B9"/>
    <w:rsid w:val="007F759F"/>
    <w:rsid w:val="008042B2"/>
    <w:rsid w:val="00807761"/>
    <w:rsid w:val="00807D47"/>
    <w:rsid w:val="008104A5"/>
    <w:rsid w:val="0081124B"/>
    <w:rsid w:val="0081397F"/>
    <w:rsid w:val="00813A20"/>
    <w:rsid w:val="00814528"/>
    <w:rsid w:val="00814B17"/>
    <w:rsid w:val="008177CB"/>
    <w:rsid w:val="0082074D"/>
    <w:rsid w:val="0082250B"/>
    <w:rsid w:val="008227DC"/>
    <w:rsid w:val="00822FDE"/>
    <w:rsid w:val="00823A72"/>
    <w:rsid w:val="0082706F"/>
    <w:rsid w:val="0082775C"/>
    <w:rsid w:val="00827A61"/>
    <w:rsid w:val="00827C30"/>
    <w:rsid w:val="008322BB"/>
    <w:rsid w:val="00832AAA"/>
    <w:rsid w:val="00832EE3"/>
    <w:rsid w:val="0083715D"/>
    <w:rsid w:val="008405AE"/>
    <w:rsid w:val="00841804"/>
    <w:rsid w:val="0084279B"/>
    <w:rsid w:val="008458F2"/>
    <w:rsid w:val="008467FA"/>
    <w:rsid w:val="008475A5"/>
    <w:rsid w:val="00847A01"/>
    <w:rsid w:val="00847A6E"/>
    <w:rsid w:val="00856413"/>
    <w:rsid w:val="008577C9"/>
    <w:rsid w:val="00861993"/>
    <w:rsid w:val="008678ED"/>
    <w:rsid w:val="00870C8D"/>
    <w:rsid w:val="00872421"/>
    <w:rsid w:val="00872EA0"/>
    <w:rsid w:val="0087425A"/>
    <w:rsid w:val="00881D37"/>
    <w:rsid w:val="008830D2"/>
    <w:rsid w:val="00885443"/>
    <w:rsid w:val="008856BD"/>
    <w:rsid w:val="00885CB7"/>
    <w:rsid w:val="00885E9A"/>
    <w:rsid w:val="00886D30"/>
    <w:rsid w:val="00891DDA"/>
    <w:rsid w:val="00892925"/>
    <w:rsid w:val="008929D7"/>
    <w:rsid w:val="0089340E"/>
    <w:rsid w:val="0089405B"/>
    <w:rsid w:val="00895F74"/>
    <w:rsid w:val="008960A6"/>
    <w:rsid w:val="00897D72"/>
    <w:rsid w:val="008A0D30"/>
    <w:rsid w:val="008A695B"/>
    <w:rsid w:val="008A7FC3"/>
    <w:rsid w:val="008B0D6F"/>
    <w:rsid w:val="008B46DC"/>
    <w:rsid w:val="008B5B78"/>
    <w:rsid w:val="008B6085"/>
    <w:rsid w:val="008B72E4"/>
    <w:rsid w:val="008B73AB"/>
    <w:rsid w:val="008B770C"/>
    <w:rsid w:val="008C078F"/>
    <w:rsid w:val="008C20F6"/>
    <w:rsid w:val="008C25F4"/>
    <w:rsid w:val="008C7677"/>
    <w:rsid w:val="008D098E"/>
    <w:rsid w:val="008D138C"/>
    <w:rsid w:val="008D514C"/>
    <w:rsid w:val="008D53E1"/>
    <w:rsid w:val="008D668D"/>
    <w:rsid w:val="008D6A37"/>
    <w:rsid w:val="008D75EA"/>
    <w:rsid w:val="008D7F2B"/>
    <w:rsid w:val="008E0AFB"/>
    <w:rsid w:val="008E1FA1"/>
    <w:rsid w:val="008E2F24"/>
    <w:rsid w:val="008E34C8"/>
    <w:rsid w:val="008E3F8C"/>
    <w:rsid w:val="008E49A4"/>
    <w:rsid w:val="008E6939"/>
    <w:rsid w:val="008E7525"/>
    <w:rsid w:val="008F2C49"/>
    <w:rsid w:val="008F542D"/>
    <w:rsid w:val="008F6FDD"/>
    <w:rsid w:val="008F78C3"/>
    <w:rsid w:val="00903BF8"/>
    <w:rsid w:val="009060FB"/>
    <w:rsid w:val="00907110"/>
    <w:rsid w:val="009074E9"/>
    <w:rsid w:val="00910D36"/>
    <w:rsid w:val="0091161E"/>
    <w:rsid w:val="00912115"/>
    <w:rsid w:val="00912778"/>
    <w:rsid w:val="00913005"/>
    <w:rsid w:val="009138E8"/>
    <w:rsid w:val="009150D0"/>
    <w:rsid w:val="009162EF"/>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3C85"/>
    <w:rsid w:val="00945DA5"/>
    <w:rsid w:val="00946A05"/>
    <w:rsid w:val="00946DE0"/>
    <w:rsid w:val="009504A5"/>
    <w:rsid w:val="00951C9F"/>
    <w:rsid w:val="00952735"/>
    <w:rsid w:val="0095335B"/>
    <w:rsid w:val="0095382B"/>
    <w:rsid w:val="0095405A"/>
    <w:rsid w:val="00954333"/>
    <w:rsid w:val="00954E69"/>
    <w:rsid w:val="00955670"/>
    <w:rsid w:val="009620BF"/>
    <w:rsid w:val="00962A24"/>
    <w:rsid w:val="009634D9"/>
    <w:rsid w:val="00963DAD"/>
    <w:rsid w:val="009640AA"/>
    <w:rsid w:val="009726DB"/>
    <w:rsid w:val="00972F72"/>
    <w:rsid w:val="00974579"/>
    <w:rsid w:val="009760C4"/>
    <w:rsid w:val="00976542"/>
    <w:rsid w:val="009831E7"/>
    <w:rsid w:val="00983247"/>
    <w:rsid w:val="00984EFB"/>
    <w:rsid w:val="00985C69"/>
    <w:rsid w:val="00985D7F"/>
    <w:rsid w:val="00990174"/>
    <w:rsid w:val="00990EDE"/>
    <w:rsid w:val="009937BE"/>
    <w:rsid w:val="00997817"/>
    <w:rsid w:val="00997F3A"/>
    <w:rsid w:val="009A080E"/>
    <w:rsid w:val="009A1A28"/>
    <w:rsid w:val="009A21E1"/>
    <w:rsid w:val="009A2971"/>
    <w:rsid w:val="009A2D87"/>
    <w:rsid w:val="009A4187"/>
    <w:rsid w:val="009A42BC"/>
    <w:rsid w:val="009A4DEE"/>
    <w:rsid w:val="009A50A3"/>
    <w:rsid w:val="009A6784"/>
    <w:rsid w:val="009A7126"/>
    <w:rsid w:val="009A7488"/>
    <w:rsid w:val="009B01CC"/>
    <w:rsid w:val="009B0B66"/>
    <w:rsid w:val="009B1F29"/>
    <w:rsid w:val="009B2561"/>
    <w:rsid w:val="009B2DD6"/>
    <w:rsid w:val="009B47D3"/>
    <w:rsid w:val="009B4A92"/>
    <w:rsid w:val="009C3E6E"/>
    <w:rsid w:val="009C42F0"/>
    <w:rsid w:val="009D23E0"/>
    <w:rsid w:val="009D3F8E"/>
    <w:rsid w:val="009D4443"/>
    <w:rsid w:val="009D56E7"/>
    <w:rsid w:val="009D6777"/>
    <w:rsid w:val="009E0C04"/>
    <w:rsid w:val="009E1C67"/>
    <w:rsid w:val="009E222D"/>
    <w:rsid w:val="009E3473"/>
    <w:rsid w:val="009E3FF3"/>
    <w:rsid w:val="009E513C"/>
    <w:rsid w:val="009E5C67"/>
    <w:rsid w:val="009F005E"/>
    <w:rsid w:val="009F06D6"/>
    <w:rsid w:val="009F1D5B"/>
    <w:rsid w:val="009F7A35"/>
    <w:rsid w:val="00A02021"/>
    <w:rsid w:val="00A02494"/>
    <w:rsid w:val="00A033DE"/>
    <w:rsid w:val="00A03D8A"/>
    <w:rsid w:val="00A1032C"/>
    <w:rsid w:val="00A14ED4"/>
    <w:rsid w:val="00A1649B"/>
    <w:rsid w:val="00A16B62"/>
    <w:rsid w:val="00A21466"/>
    <w:rsid w:val="00A2328E"/>
    <w:rsid w:val="00A25AF5"/>
    <w:rsid w:val="00A26234"/>
    <w:rsid w:val="00A26B81"/>
    <w:rsid w:val="00A30577"/>
    <w:rsid w:val="00A31AE9"/>
    <w:rsid w:val="00A31F82"/>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5367"/>
    <w:rsid w:val="00A56235"/>
    <w:rsid w:val="00A563B2"/>
    <w:rsid w:val="00A57A42"/>
    <w:rsid w:val="00A60DC6"/>
    <w:rsid w:val="00A6121B"/>
    <w:rsid w:val="00A62FAB"/>
    <w:rsid w:val="00A63722"/>
    <w:rsid w:val="00A6422D"/>
    <w:rsid w:val="00A64886"/>
    <w:rsid w:val="00A64D09"/>
    <w:rsid w:val="00A668E5"/>
    <w:rsid w:val="00A67B47"/>
    <w:rsid w:val="00A71D6A"/>
    <w:rsid w:val="00A73BCA"/>
    <w:rsid w:val="00A77493"/>
    <w:rsid w:val="00A8141F"/>
    <w:rsid w:val="00A8501A"/>
    <w:rsid w:val="00A8713F"/>
    <w:rsid w:val="00A904A7"/>
    <w:rsid w:val="00A91490"/>
    <w:rsid w:val="00A92BDB"/>
    <w:rsid w:val="00A95047"/>
    <w:rsid w:val="00A951A4"/>
    <w:rsid w:val="00A95AAD"/>
    <w:rsid w:val="00A96F7F"/>
    <w:rsid w:val="00AA0572"/>
    <w:rsid w:val="00AA0C79"/>
    <w:rsid w:val="00AA1377"/>
    <w:rsid w:val="00AA39B5"/>
    <w:rsid w:val="00AA6C6C"/>
    <w:rsid w:val="00AB15CB"/>
    <w:rsid w:val="00AB59D0"/>
    <w:rsid w:val="00AC0051"/>
    <w:rsid w:val="00AC0E1B"/>
    <w:rsid w:val="00AC16AF"/>
    <w:rsid w:val="00AC2E8B"/>
    <w:rsid w:val="00AC36D0"/>
    <w:rsid w:val="00AC3E37"/>
    <w:rsid w:val="00AD46A1"/>
    <w:rsid w:val="00AD6292"/>
    <w:rsid w:val="00AE3105"/>
    <w:rsid w:val="00AE4292"/>
    <w:rsid w:val="00AE49FF"/>
    <w:rsid w:val="00AE777C"/>
    <w:rsid w:val="00AF1833"/>
    <w:rsid w:val="00AF3EA9"/>
    <w:rsid w:val="00AF4463"/>
    <w:rsid w:val="00AF47D7"/>
    <w:rsid w:val="00AF51D2"/>
    <w:rsid w:val="00AF51FA"/>
    <w:rsid w:val="00AF538E"/>
    <w:rsid w:val="00AF6E28"/>
    <w:rsid w:val="00AF7004"/>
    <w:rsid w:val="00B00494"/>
    <w:rsid w:val="00B00748"/>
    <w:rsid w:val="00B015DB"/>
    <w:rsid w:val="00B0341F"/>
    <w:rsid w:val="00B050EF"/>
    <w:rsid w:val="00B0685F"/>
    <w:rsid w:val="00B07CAE"/>
    <w:rsid w:val="00B128A2"/>
    <w:rsid w:val="00B13735"/>
    <w:rsid w:val="00B14B65"/>
    <w:rsid w:val="00B150E4"/>
    <w:rsid w:val="00B1690B"/>
    <w:rsid w:val="00B22A47"/>
    <w:rsid w:val="00B22FB4"/>
    <w:rsid w:val="00B23F24"/>
    <w:rsid w:val="00B3015F"/>
    <w:rsid w:val="00B32A89"/>
    <w:rsid w:val="00B36955"/>
    <w:rsid w:val="00B40380"/>
    <w:rsid w:val="00B4225E"/>
    <w:rsid w:val="00B45524"/>
    <w:rsid w:val="00B458FA"/>
    <w:rsid w:val="00B4597B"/>
    <w:rsid w:val="00B47276"/>
    <w:rsid w:val="00B50E25"/>
    <w:rsid w:val="00B51626"/>
    <w:rsid w:val="00B51C5A"/>
    <w:rsid w:val="00B53B5A"/>
    <w:rsid w:val="00B55DDB"/>
    <w:rsid w:val="00B61A78"/>
    <w:rsid w:val="00B62D9E"/>
    <w:rsid w:val="00B70726"/>
    <w:rsid w:val="00B708E2"/>
    <w:rsid w:val="00B722CA"/>
    <w:rsid w:val="00B74272"/>
    <w:rsid w:val="00B75495"/>
    <w:rsid w:val="00B80E0F"/>
    <w:rsid w:val="00B86211"/>
    <w:rsid w:val="00B86390"/>
    <w:rsid w:val="00B87434"/>
    <w:rsid w:val="00B92E31"/>
    <w:rsid w:val="00B936C1"/>
    <w:rsid w:val="00BA0B22"/>
    <w:rsid w:val="00BA362F"/>
    <w:rsid w:val="00BA3E26"/>
    <w:rsid w:val="00BA5D3C"/>
    <w:rsid w:val="00BB0C00"/>
    <w:rsid w:val="00BB16B0"/>
    <w:rsid w:val="00BB32BA"/>
    <w:rsid w:val="00BB36A7"/>
    <w:rsid w:val="00BB4522"/>
    <w:rsid w:val="00BB4657"/>
    <w:rsid w:val="00BB4A73"/>
    <w:rsid w:val="00BB608F"/>
    <w:rsid w:val="00BC0718"/>
    <w:rsid w:val="00BC10E0"/>
    <w:rsid w:val="00BC2169"/>
    <w:rsid w:val="00BC484F"/>
    <w:rsid w:val="00BC4D18"/>
    <w:rsid w:val="00BD1070"/>
    <w:rsid w:val="00BD3C1F"/>
    <w:rsid w:val="00BD41A4"/>
    <w:rsid w:val="00BD5F69"/>
    <w:rsid w:val="00BD610B"/>
    <w:rsid w:val="00BD6212"/>
    <w:rsid w:val="00BD6286"/>
    <w:rsid w:val="00BE00E1"/>
    <w:rsid w:val="00BE1568"/>
    <w:rsid w:val="00BE3A00"/>
    <w:rsid w:val="00BE7A60"/>
    <w:rsid w:val="00BF0277"/>
    <w:rsid w:val="00BF2816"/>
    <w:rsid w:val="00BF3765"/>
    <w:rsid w:val="00BF5F86"/>
    <w:rsid w:val="00BF67FF"/>
    <w:rsid w:val="00C014F1"/>
    <w:rsid w:val="00C03C91"/>
    <w:rsid w:val="00C03F3F"/>
    <w:rsid w:val="00C04104"/>
    <w:rsid w:val="00C04E8E"/>
    <w:rsid w:val="00C07749"/>
    <w:rsid w:val="00C07AD1"/>
    <w:rsid w:val="00C12DE3"/>
    <w:rsid w:val="00C149CA"/>
    <w:rsid w:val="00C20DEF"/>
    <w:rsid w:val="00C217C6"/>
    <w:rsid w:val="00C2190A"/>
    <w:rsid w:val="00C25F33"/>
    <w:rsid w:val="00C27A2F"/>
    <w:rsid w:val="00C336DE"/>
    <w:rsid w:val="00C340B0"/>
    <w:rsid w:val="00C34A89"/>
    <w:rsid w:val="00C35DD0"/>
    <w:rsid w:val="00C37F0B"/>
    <w:rsid w:val="00C432EB"/>
    <w:rsid w:val="00C45192"/>
    <w:rsid w:val="00C46FFA"/>
    <w:rsid w:val="00C5019C"/>
    <w:rsid w:val="00C502F4"/>
    <w:rsid w:val="00C50387"/>
    <w:rsid w:val="00C522D1"/>
    <w:rsid w:val="00C572FA"/>
    <w:rsid w:val="00C57E34"/>
    <w:rsid w:val="00C61134"/>
    <w:rsid w:val="00C63012"/>
    <w:rsid w:val="00C647CC"/>
    <w:rsid w:val="00C712B3"/>
    <w:rsid w:val="00C71963"/>
    <w:rsid w:val="00C754EF"/>
    <w:rsid w:val="00C7751C"/>
    <w:rsid w:val="00C808EE"/>
    <w:rsid w:val="00C82E31"/>
    <w:rsid w:val="00C82FD3"/>
    <w:rsid w:val="00C83A4D"/>
    <w:rsid w:val="00C844AF"/>
    <w:rsid w:val="00C8680A"/>
    <w:rsid w:val="00C87063"/>
    <w:rsid w:val="00C87CB0"/>
    <w:rsid w:val="00C9467C"/>
    <w:rsid w:val="00C95FA7"/>
    <w:rsid w:val="00C9687B"/>
    <w:rsid w:val="00C97E06"/>
    <w:rsid w:val="00CA3D62"/>
    <w:rsid w:val="00CA40CC"/>
    <w:rsid w:val="00CA6D6A"/>
    <w:rsid w:val="00CB5F91"/>
    <w:rsid w:val="00CB7A82"/>
    <w:rsid w:val="00CC04E5"/>
    <w:rsid w:val="00CC2EC4"/>
    <w:rsid w:val="00CC3EC9"/>
    <w:rsid w:val="00CC4FBD"/>
    <w:rsid w:val="00CC5591"/>
    <w:rsid w:val="00CC7405"/>
    <w:rsid w:val="00CD343E"/>
    <w:rsid w:val="00CD4BEB"/>
    <w:rsid w:val="00CD581C"/>
    <w:rsid w:val="00CD68BB"/>
    <w:rsid w:val="00CE0795"/>
    <w:rsid w:val="00CE1EA6"/>
    <w:rsid w:val="00CE4749"/>
    <w:rsid w:val="00CE5534"/>
    <w:rsid w:val="00CE5755"/>
    <w:rsid w:val="00CF1C4B"/>
    <w:rsid w:val="00CF1F94"/>
    <w:rsid w:val="00CF29D0"/>
    <w:rsid w:val="00CF29FD"/>
    <w:rsid w:val="00CF4173"/>
    <w:rsid w:val="00CF6EB6"/>
    <w:rsid w:val="00D00A90"/>
    <w:rsid w:val="00D01A0A"/>
    <w:rsid w:val="00D028F3"/>
    <w:rsid w:val="00D05723"/>
    <w:rsid w:val="00D116D2"/>
    <w:rsid w:val="00D13E3D"/>
    <w:rsid w:val="00D14ED9"/>
    <w:rsid w:val="00D16EB2"/>
    <w:rsid w:val="00D1735A"/>
    <w:rsid w:val="00D221DE"/>
    <w:rsid w:val="00D233F1"/>
    <w:rsid w:val="00D23421"/>
    <w:rsid w:val="00D23B2B"/>
    <w:rsid w:val="00D23C0C"/>
    <w:rsid w:val="00D24A82"/>
    <w:rsid w:val="00D26201"/>
    <w:rsid w:val="00D26800"/>
    <w:rsid w:val="00D300D1"/>
    <w:rsid w:val="00D31571"/>
    <w:rsid w:val="00D32403"/>
    <w:rsid w:val="00D37CF1"/>
    <w:rsid w:val="00D37F32"/>
    <w:rsid w:val="00D400A4"/>
    <w:rsid w:val="00D5170C"/>
    <w:rsid w:val="00D51F3C"/>
    <w:rsid w:val="00D60FCB"/>
    <w:rsid w:val="00D65A38"/>
    <w:rsid w:val="00D65D06"/>
    <w:rsid w:val="00D724A3"/>
    <w:rsid w:val="00D73ACA"/>
    <w:rsid w:val="00D7515C"/>
    <w:rsid w:val="00D81D11"/>
    <w:rsid w:val="00D81DD7"/>
    <w:rsid w:val="00D84754"/>
    <w:rsid w:val="00D851F5"/>
    <w:rsid w:val="00D8551D"/>
    <w:rsid w:val="00D85919"/>
    <w:rsid w:val="00D9256C"/>
    <w:rsid w:val="00D9596B"/>
    <w:rsid w:val="00D9626A"/>
    <w:rsid w:val="00D968BE"/>
    <w:rsid w:val="00D96C46"/>
    <w:rsid w:val="00D979E1"/>
    <w:rsid w:val="00DA0BAD"/>
    <w:rsid w:val="00DA791C"/>
    <w:rsid w:val="00DB6CF6"/>
    <w:rsid w:val="00DB6E09"/>
    <w:rsid w:val="00DC2804"/>
    <w:rsid w:val="00DC2AB3"/>
    <w:rsid w:val="00DC5E6F"/>
    <w:rsid w:val="00DD0312"/>
    <w:rsid w:val="00DD516D"/>
    <w:rsid w:val="00DD7B5B"/>
    <w:rsid w:val="00DE06DD"/>
    <w:rsid w:val="00DE0D63"/>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6E21"/>
    <w:rsid w:val="00E20C94"/>
    <w:rsid w:val="00E30363"/>
    <w:rsid w:val="00E30BF6"/>
    <w:rsid w:val="00E31077"/>
    <w:rsid w:val="00E333D0"/>
    <w:rsid w:val="00E34283"/>
    <w:rsid w:val="00E342C3"/>
    <w:rsid w:val="00E3501C"/>
    <w:rsid w:val="00E4162E"/>
    <w:rsid w:val="00E43E56"/>
    <w:rsid w:val="00E446C5"/>
    <w:rsid w:val="00E44E48"/>
    <w:rsid w:val="00E47422"/>
    <w:rsid w:val="00E47FC3"/>
    <w:rsid w:val="00E50799"/>
    <w:rsid w:val="00E5206C"/>
    <w:rsid w:val="00E5302A"/>
    <w:rsid w:val="00E55EE0"/>
    <w:rsid w:val="00E60811"/>
    <w:rsid w:val="00E63A6E"/>
    <w:rsid w:val="00E67069"/>
    <w:rsid w:val="00E67D33"/>
    <w:rsid w:val="00E71441"/>
    <w:rsid w:val="00E72ADF"/>
    <w:rsid w:val="00E73330"/>
    <w:rsid w:val="00E7728B"/>
    <w:rsid w:val="00E773FA"/>
    <w:rsid w:val="00E80F06"/>
    <w:rsid w:val="00E810E0"/>
    <w:rsid w:val="00E82FBE"/>
    <w:rsid w:val="00E83615"/>
    <w:rsid w:val="00E84E17"/>
    <w:rsid w:val="00E91607"/>
    <w:rsid w:val="00E941C0"/>
    <w:rsid w:val="00E957EB"/>
    <w:rsid w:val="00E95EBA"/>
    <w:rsid w:val="00E963EB"/>
    <w:rsid w:val="00EA376A"/>
    <w:rsid w:val="00EA7512"/>
    <w:rsid w:val="00EB1D11"/>
    <w:rsid w:val="00EB24A1"/>
    <w:rsid w:val="00EB743B"/>
    <w:rsid w:val="00EC1E3B"/>
    <w:rsid w:val="00ED15FF"/>
    <w:rsid w:val="00ED1AA7"/>
    <w:rsid w:val="00ED2A59"/>
    <w:rsid w:val="00ED7AB3"/>
    <w:rsid w:val="00EE07CC"/>
    <w:rsid w:val="00EE30F5"/>
    <w:rsid w:val="00EE3F44"/>
    <w:rsid w:val="00EE55B0"/>
    <w:rsid w:val="00EE7742"/>
    <w:rsid w:val="00EF165F"/>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35C"/>
    <w:rsid w:val="00F14FBA"/>
    <w:rsid w:val="00F21BC3"/>
    <w:rsid w:val="00F22BC6"/>
    <w:rsid w:val="00F24549"/>
    <w:rsid w:val="00F2477F"/>
    <w:rsid w:val="00F26457"/>
    <w:rsid w:val="00F26AC1"/>
    <w:rsid w:val="00F27289"/>
    <w:rsid w:val="00F2735B"/>
    <w:rsid w:val="00F326D3"/>
    <w:rsid w:val="00F32851"/>
    <w:rsid w:val="00F335B9"/>
    <w:rsid w:val="00F3626E"/>
    <w:rsid w:val="00F3745B"/>
    <w:rsid w:val="00F37A02"/>
    <w:rsid w:val="00F43CEA"/>
    <w:rsid w:val="00F44D3A"/>
    <w:rsid w:val="00F4582A"/>
    <w:rsid w:val="00F47849"/>
    <w:rsid w:val="00F47F26"/>
    <w:rsid w:val="00F5119E"/>
    <w:rsid w:val="00F56BA7"/>
    <w:rsid w:val="00F60042"/>
    <w:rsid w:val="00F61D6C"/>
    <w:rsid w:val="00F646DF"/>
    <w:rsid w:val="00F65A3D"/>
    <w:rsid w:val="00F669B0"/>
    <w:rsid w:val="00F6710E"/>
    <w:rsid w:val="00F71203"/>
    <w:rsid w:val="00F730CA"/>
    <w:rsid w:val="00F75676"/>
    <w:rsid w:val="00F8012D"/>
    <w:rsid w:val="00F826D7"/>
    <w:rsid w:val="00F84271"/>
    <w:rsid w:val="00F84E1E"/>
    <w:rsid w:val="00F84FDE"/>
    <w:rsid w:val="00F85A3D"/>
    <w:rsid w:val="00F87EB0"/>
    <w:rsid w:val="00F908D6"/>
    <w:rsid w:val="00F92440"/>
    <w:rsid w:val="00F935E6"/>
    <w:rsid w:val="00F93731"/>
    <w:rsid w:val="00F9410C"/>
    <w:rsid w:val="00F946C3"/>
    <w:rsid w:val="00F950A6"/>
    <w:rsid w:val="00F957AF"/>
    <w:rsid w:val="00F95A1E"/>
    <w:rsid w:val="00F96AA8"/>
    <w:rsid w:val="00FA00BB"/>
    <w:rsid w:val="00FA0CC3"/>
    <w:rsid w:val="00FA1AED"/>
    <w:rsid w:val="00FA22FA"/>
    <w:rsid w:val="00FA2949"/>
    <w:rsid w:val="00FA2CDB"/>
    <w:rsid w:val="00FA5594"/>
    <w:rsid w:val="00FA5EAB"/>
    <w:rsid w:val="00FB0117"/>
    <w:rsid w:val="00FB3C18"/>
    <w:rsid w:val="00FB6437"/>
    <w:rsid w:val="00FB6A67"/>
    <w:rsid w:val="00FC3B6D"/>
    <w:rsid w:val="00FC6216"/>
    <w:rsid w:val="00FC6C6E"/>
    <w:rsid w:val="00FD11B7"/>
    <w:rsid w:val="00FD21F8"/>
    <w:rsid w:val="00FD2AB0"/>
    <w:rsid w:val="00FD460C"/>
    <w:rsid w:val="00FD5E31"/>
    <w:rsid w:val="00FD6573"/>
    <w:rsid w:val="00FD6586"/>
    <w:rsid w:val="00FD72D0"/>
    <w:rsid w:val="00FE0B72"/>
    <w:rsid w:val="00FE19AC"/>
    <w:rsid w:val="00FE27FA"/>
    <w:rsid w:val="00FE4CA2"/>
    <w:rsid w:val="00FE562F"/>
    <w:rsid w:val="00FE5962"/>
    <w:rsid w:val="00FE6423"/>
    <w:rsid w:val="00FF0E4B"/>
    <w:rsid w:val="00FF1831"/>
    <w:rsid w:val="00FF27EE"/>
    <w:rsid w:val="00FF3872"/>
    <w:rsid w:val="00FF4145"/>
    <w:rsid w:val="00FF5A39"/>
    <w:rsid w:val="00FF625C"/>
    <w:rsid w:val="01315C76"/>
    <w:rsid w:val="013543A2"/>
    <w:rsid w:val="0163262B"/>
    <w:rsid w:val="01B84F51"/>
    <w:rsid w:val="01CC7C92"/>
    <w:rsid w:val="01DB6127"/>
    <w:rsid w:val="020C4532"/>
    <w:rsid w:val="0262365B"/>
    <w:rsid w:val="026954E1"/>
    <w:rsid w:val="028C7481"/>
    <w:rsid w:val="02BF2DE0"/>
    <w:rsid w:val="02BF6D0C"/>
    <w:rsid w:val="02D74B40"/>
    <w:rsid w:val="03104227"/>
    <w:rsid w:val="031B4584"/>
    <w:rsid w:val="03616052"/>
    <w:rsid w:val="036B5288"/>
    <w:rsid w:val="036C0B3D"/>
    <w:rsid w:val="03795BF7"/>
    <w:rsid w:val="03A93ABE"/>
    <w:rsid w:val="03D2748F"/>
    <w:rsid w:val="03F92CE6"/>
    <w:rsid w:val="040556DD"/>
    <w:rsid w:val="0422003D"/>
    <w:rsid w:val="04463D2B"/>
    <w:rsid w:val="044E7EFA"/>
    <w:rsid w:val="046C77B0"/>
    <w:rsid w:val="04706FFA"/>
    <w:rsid w:val="05087233"/>
    <w:rsid w:val="0509025E"/>
    <w:rsid w:val="050E256C"/>
    <w:rsid w:val="053A2BD6"/>
    <w:rsid w:val="053E2B18"/>
    <w:rsid w:val="05511C04"/>
    <w:rsid w:val="05702C0C"/>
    <w:rsid w:val="05860158"/>
    <w:rsid w:val="058835F3"/>
    <w:rsid w:val="05883ED0"/>
    <w:rsid w:val="058A40EC"/>
    <w:rsid w:val="05947F28"/>
    <w:rsid w:val="05C56ED2"/>
    <w:rsid w:val="05CF5FA2"/>
    <w:rsid w:val="06066A91"/>
    <w:rsid w:val="060C4B01"/>
    <w:rsid w:val="061B2F96"/>
    <w:rsid w:val="062F07EF"/>
    <w:rsid w:val="06532730"/>
    <w:rsid w:val="06D27AF8"/>
    <w:rsid w:val="06DF0467"/>
    <w:rsid w:val="0705336A"/>
    <w:rsid w:val="070E6657"/>
    <w:rsid w:val="072916E2"/>
    <w:rsid w:val="074958E1"/>
    <w:rsid w:val="075B5FCB"/>
    <w:rsid w:val="07724FB5"/>
    <w:rsid w:val="077408A1"/>
    <w:rsid w:val="079A613C"/>
    <w:rsid w:val="07C068D2"/>
    <w:rsid w:val="07DB0C2F"/>
    <w:rsid w:val="07DF1828"/>
    <w:rsid w:val="07E36D61"/>
    <w:rsid w:val="07F615C4"/>
    <w:rsid w:val="08145EEF"/>
    <w:rsid w:val="08260DE2"/>
    <w:rsid w:val="082A7400"/>
    <w:rsid w:val="082E5728"/>
    <w:rsid w:val="083D260A"/>
    <w:rsid w:val="08411C9E"/>
    <w:rsid w:val="084560A8"/>
    <w:rsid w:val="08680944"/>
    <w:rsid w:val="08AE24B7"/>
    <w:rsid w:val="08AF79C5"/>
    <w:rsid w:val="08C73343"/>
    <w:rsid w:val="08D34DB2"/>
    <w:rsid w:val="08F74913"/>
    <w:rsid w:val="092F7F7E"/>
    <w:rsid w:val="09377D99"/>
    <w:rsid w:val="09383E5F"/>
    <w:rsid w:val="095070CA"/>
    <w:rsid w:val="09532A47"/>
    <w:rsid w:val="0958005D"/>
    <w:rsid w:val="095803FE"/>
    <w:rsid w:val="096333E2"/>
    <w:rsid w:val="0975527F"/>
    <w:rsid w:val="098843D8"/>
    <w:rsid w:val="09BA4874"/>
    <w:rsid w:val="09C02475"/>
    <w:rsid w:val="09CF1D4B"/>
    <w:rsid w:val="09D36016"/>
    <w:rsid w:val="09D73678"/>
    <w:rsid w:val="0A162780"/>
    <w:rsid w:val="0A79613E"/>
    <w:rsid w:val="0A813CC0"/>
    <w:rsid w:val="0A8530D4"/>
    <w:rsid w:val="0AB93D4D"/>
    <w:rsid w:val="0ABA58A9"/>
    <w:rsid w:val="0ABB4D47"/>
    <w:rsid w:val="0AC0410C"/>
    <w:rsid w:val="0AC91212"/>
    <w:rsid w:val="0AD6392F"/>
    <w:rsid w:val="0AF0679F"/>
    <w:rsid w:val="0AF72F43"/>
    <w:rsid w:val="0B095AB3"/>
    <w:rsid w:val="0B153C67"/>
    <w:rsid w:val="0B605AE8"/>
    <w:rsid w:val="0B7373D0"/>
    <w:rsid w:val="0BA119B7"/>
    <w:rsid w:val="0BA45C1D"/>
    <w:rsid w:val="0BB93035"/>
    <w:rsid w:val="0BBC4048"/>
    <w:rsid w:val="0BBF6171"/>
    <w:rsid w:val="0BC06B2A"/>
    <w:rsid w:val="0BD95485"/>
    <w:rsid w:val="0BDC6D23"/>
    <w:rsid w:val="0BE91440"/>
    <w:rsid w:val="0BFB189F"/>
    <w:rsid w:val="0BFD0E4D"/>
    <w:rsid w:val="0C0E75ED"/>
    <w:rsid w:val="0C1D721E"/>
    <w:rsid w:val="0C3D5263"/>
    <w:rsid w:val="0C4A1EDF"/>
    <w:rsid w:val="0C4A6383"/>
    <w:rsid w:val="0C607954"/>
    <w:rsid w:val="0C6311F3"/>
    <w:rsid w:val="0C7033F0"/>
    <w:rsid w:val="0C79066D"/>
    <w:rsid w:val="0C7C5DCA"/>
    <w:rsid w:val="0C840196"/>
    <w:rsid w:val="0C8C24F7"/>
    <w:rsid w:val="0C9E64ED"/>
    <w:rsid w:val="0CDC0CE9"/>
    <w:rsid w:val="0CE32075"/>
    <w:rsid w:val="0CED2623"/>
    <w:rsid w:val="0CEE0318"/>
    <w:rsid w:val="0CFF716D"/>
    <w:rsid w:val="0D18022F"/>
    <w:rsid w:val="0D35493D"/>
    <w:rsid w:val="0D394AB7"/>
    <w:rsid w:val="0D445392"/>
    <w:rsid w:val="0D4F3EC6"/>
    <w:rsid w:val="0D5D3E94"/>
    <w:rsid w:val="0D724825"/>
    <w:rsid w:val="0DAB18E0"/>
    <w:rsid w:val="0DBE6077"/>
    <w:rsid w:val="0DCC5250"/>
    <w:rsid w:val="0DDA53A8"/>
    <w:rsid w:val="0DE27E5D"/>
    <w:rsid w:val="0DF009AC"/>
    <w:rsid w:val="0DF70952"/>
    <w:rsid w:val="0E536F6F"/>
    <w:rsid w:val="0E5C239D"/>
    <w:rsid w:val="0E72185C"/>
    <w:rsid w:val="0E752FF2"/>
    <w:rsid w:val="0E881CB2"/>
    <w:rsid w:val="0E884F40"/>
    <w:rsid w:val="0E8A0CB9"/>
    <w:rsid w:val="0EA855E3"/>
    <w:rsid w:val="0EC20A9F"/>
    <w:rsid w:val="0EDB1514"/>
    <w:rsid w:val="0EE17EAB"/>
    <w:rsid w:val="0EFA7762"/>
    <w:rsid w:val="0F0E2EB6"/>
    <w:rsid w:val="0F1F2FB1"/>
    <w:rsid w:val="0F33338E"/>
    <w:rsid w:val="0F476BAA"/>
    <w:rsid w:val="0F586000"/>
    <w:rsid w:val="0F5F3EF3"/>
    <w:rsid w:val="0F6350F0"/>
    <w:rsid w:val="0F843731"/>
    <w:rsid w:val="0F8E3335"/>
    <w:rsid w:val="0F92052B"/>
    <w:rsid w:val="0F9D0EBF"/>
    <w:rsid w:val="0FAC2EB1"/>
    <w:rsid w:val="0FCA625C"/>
    <w:rsid w:val="0FF54858"/>
    <w:rsid w:val="0FFF7484"/>
    <w:rsid w:val="10354B37"/>
    <w:rsid w:val="10395860"/>
    <w:rsid w:val="103A670E"/>
    <w:rsid w:val="104B4477"/>
    <w:rsid w:val="10505F32"/>
    <w:rsid w:val="10506749"/>
    <w:rsid w:val="105E41AB"/>
    <w:rsid w:val="106C7170"/>
    <w:rsid w:val="108C6F6A"/>
    <w:rsid w:val="10AA3894"/>
    <w:rsid w:val="10CF32FA"/>
    <w:rsid w:val="10D25B15"/>
    <w:rsid w:val="10E40F69"/>
    <w:rsid w:val="1122342A"/>
    <w:rsid w:val="11300774"/>
    <w:rsid w:val="11475C68"/>
    <w:rsid w:val="11530B0A"/>
    <w:rsid w:val="115A7068"/>
    <w:rsid w:val="117D68B3"/>
    <w:rsid w:val="11A622AD"/>
    <w:rsid w:val="11B47626"/>
    <w:rsid w:val="11CB3AC2"/>
    <w:rsid w:val="11E5179E"/>
    <w:rsid w:val="123635A8"/>
    <w:rsid w:val="12612E3B"/>
    <w:rsid w:val="12685BA3"/>
    <w:rsid w:val="129461C6"/>
    <w:rsid w:val="12C469E5"/>
    <w:rsid w:val="12D13FC1"/>
    <w:rsid w:val="12D320C6"/>
    <w:rsid w:val="12D6271E"/>
    <w:rsid w:val="134C29E0"/>
    <w:rsid w:val="136F4921"/>
    <w:rsid w:val="13854144"/>
    <w:rsid w:val="13A520F1"/>
    <w:rsid w:val="13BA6376"/>
    <w:rsid w:val="14045F06"/>
    <w:rsid w:val="14143437"/>
    <w:rsid w:val="14157276"/>
    <w:rsid w:val="14261483"/>
    <w:rsid w:val="142D220A"/>
    <w:rsid w:val="14333421"/>
    <w:rsid w:val="14356820"/>
    <w:rsid w:val="147E70A0"/>
    <w:rsid w:val="148937C0"/>
    <w:rsid w:val="14A539F0"/>
    <w:rsid w:val="150C68CB"/>
    <w:rsid w:val="15274F8D"/>
    <w:rsid w:val="154716B1"/>
    <w:rsid w:val="15477903"/>
    <w:rsid w:val="154D2A40"/>
    <w:rsid w:val="15765FC8"/>
    <w:rsid w:val="15785D0F"/>
    <w:rsid w:val="158277D7"/>
    <w:rsid w:val="15853F88"/>
    <w:rsid w:val="15C56A7A"/>
    <w:rsid w:val="15CD37BC"/>
    <w:rsid w:val="15FD6214"/>
    <w:rsid w:val="16002382"/>
    <w:rsid w:val="160475A2"/>
    <w:rsid w:val="160F43F2"/>
    <w:rsid w:val="1666025D"/>
    <w:rsid w:val="16B44C04"/>
    <w:rsid w:val="16EC4BB5"/>
    <w:rsid w:val="170245DA"/>
    <w:rsid w:val="17084E70"/>
    <w:rsid w:val="17173305"/>
    <w:rsid w:val="171811BB"/>
    <w:rsid w:val="17212A03"/>
    <w:rsid w:val="17214184"/>
    <w:rsid w:val="172C2661"/>
    <w:rsid w:val="174145FC"/>
    <w:rsid w:val="175550DB"/>
    <w:rsid w:val="178169D1"/>
    <w:rsid w:val="17944956"/>
    <w:rsid w:val="17A0154D"/>
    <w:rsid w:val="17C470E7"/>
    <w:rsid w:val="17D5787E"/>
    <w:rsid w:val="17F52CDF"/>
    <w:rsid w:val="17F92A0B"/>
    <w:rsid w:val="17FD074D"/>
    <w:rsid w:val="180E295A"/>
    <w:rsid w:val="181822CA"/>
    <w:rsid w:val="181D2B9D"/>
    <w:rsid w:val="18277578"/>
    <w:rsid w:val="182B350C"/>
    <w:rsid w:val="18396D34"/>
    <w:rsid w:val="185547A4"/>
    <w:rsid w:val="186407CC"/>
    <w:rsid w:val="188A049E"/>
    <w:rsid w:val="189244AD"/>
    <w:rsid w:val="189D5A8C"/>
    <w:rsid w:val="18B84674"/>
    <w:rsid w:val="18C97001"/>
    <w:rsid w:val="18D534CF"/>
    <w:rsid w:val="18D94D16"/>
    <w:rsid w:val="19212219"/>
    <w:rsid w:val="193957B5"/>
    <w:rsid w:val="195C14A3"/>
    <w:rsid w:val="195F2D42"/>
    <w:rsid w:val="19795932"/>
    <w:rsid w:val="198D1F04"/>
    <w:rsid w:val="19924EC5"/>
    <w:rsid w:val="19A26AA0"/>
    <w:rsid w:val="19C71013"/>
    <w:rsid w:val="19D21766"/>
    <w:rsid w:val="19D66C0C"/>
    <w:rsid w:val="19F81A40"/>
    <w:rsid w:val="1A0E09F0"/>
    <w:rsid w:val="1A18361C"/>
    <w:rsid w:val="1A277036"/>
    <w:rsid w:val="1A2C0734"/>
    <w:rsid w:val="1A3319B6"/>
    <w:rsid w:val="1A3E5F62"/>
    <w:rsid w:val="1A420699"/>
    <w:rsid w:val="1A4A39F2"/>
    <w:rsid w:val="1A5D54D3"/>
    <w:rsid w:val="1A622AE9"/>
    <w:rsid w:val="1A7F369B"/>
    <w:rsid w:val="1AAB691C"/>
    <w:rsid w:val="1AC267BC"/>
    <w:rsid w:val="1AE94FB9"/>
    <w:rsid w:val="1B041BC6"/>
    <w:rsid w:val="1B0F0EC3"/>
    <w:rsid w:val="1B1A1616"/>
    <w:rsid w:val="1B1C3C84"/>
    <w:rsid w:val="1B285AE1"/>
    <w:rsid w:val="1B2D759B"/>
    <w:rsid w:val="1B3F4820"/>
    <w:rsid w:val="1B5A65C8"/>
    <w:rsid w:val="1B673FFF"/>
    <w:rsid w:val="1B7C5E2D"/>
    <w:rsid w:val="1B9E2247"/>
    <w:rsid w:val="1BAB04C0"/>
    <w:rsid w:val="1BAD1318"/>
    <w:rsid w:val="1BB57BF5"/>
    <w:rsid w:val="1BDD4B1E"/>
    <w:rsid w:val="1C142509"/>
    <w:rsid w:val="1C4D5873"/>
    <w:rsid w:val="1C56782A"/>
    <w:rsid w:val="1C626DD1"/>
    <w:rsid w:val="1C686C06"/>
    <w:rsid w:val="1C6A675E"/>
    <w:rsid w:val="1C8E7BC6"/>
    <w:rsid w:val="1C940F54"/>
    <w:rsid w:val="1CB44238"/>
    <w:rsid w:val="1CE90746"/>
    <w:rsid w:val="1D180C38"/>
    <w:rsid w:val="1D1D719C"/>
    <w:rsid w:val="1D302D06"/>
    <w:rsid w:val="1D320E8A"/>
    <w:rsid w:val="1D542D38"/>
    <w:rsid w:val="1D5461CC"/>
    <w:rsid w:val="1D5C4168"/>
    <w:rsid w:val="1D7019C1"/>
    <w:rsid w:val="1D945474"/>
    <w:rsid w:val="1D9D6764"/>
    <w:rsid w:val="1DA17DCD"/>
    <w:rsid w:val="1DA70FEA"/>
    <w:rsid w:val="1DAF24EA"/>
    <w:rsid w:val="1DB573D4"/>
    <w:rsid w:val="1DCB6BF8"/>
    <w:rsid w:val="1DCE4F02"/>
    <w:rsid w:val="1DDC2BB3"/>
    <w:rsid w:val="1DDF58E5"/>
    <w:rsid w:val="1DF2699E"/>
    <w:rsid w:val="1E3D18A3"/>
    <w:rsid w:val="1E560BB7"/>
    <w:rsid w:val="1E6B3973"/>
    <w:rsid w:val="1E873CC8"/>
    <w:rsid w:val="1EB26853"/>
    <w:rsid w:val="1EC41FC5"/>
    <w:rsid w:val="1EE91A2B"/>
    <w:rsid w:val="1F120F82"/>
    <w:rsid w:val="1F1A4839"/>
    <w:rsid w:val="1F901EA7"/>
    <w:rsid w:val="1FA0658E"/>
    <w:rsid w:val="1FF94CFE"/>
    <w:rsid w:val="20340A84"/>
    <w:rsid w:val="204368A7"/>
    <w:rsid w:val="2056208C"/>
    <w:rsid w:val="205A0CA7"/>
    <w:rsid w:val="205D622D"/>
    <w:rsid w:val="20855A2A"/>
    <w:rsid w:val="209136DA"/>
    <w:rsid w:val="20EF0E4F"/>
    <w:rsid w:val="211961F5"/>
    <w:rsid w:val="21423833"/>
    <w:rsid w:val="21537630"/>
    <w:rsid w:val="21553F62"/>
    <w:rsid w:val="216C5F29"/>
    <w:rsid w:val="2173382E"/>
    <w:rsid w:val="21A410C8"/>
    <w:rsid w:val="21A4133F"/>
    <w:rsid w:val="21AA36F4"/>
    <w:rsid w:val="21C127EB"/>
    <w:rsid w:val="21E84E62"/>
    <w:rsid w:val="21ED3737"/>
    <w:rsid w:val="220B4B15"/>
    <w:rsid w:val="22166F4B"/>
    <w:rsid w:val="221E78AD"/>
    <w:rsid w:val="2221772E"/>
    <w:rsid w:val="22550DF8"/>
    <w:rsid w:val="22552996"/>
    <w:rsid w:val="225E5589"/>
    <w:rsid w:val="226F5814"/>
    <w:rsid w:val="227C1FD8"/>
    <w:rsid w:val="227C6A55"/>
    <w:rsid w:val="22B07037"/>
    <w:rsid w:val="22C96F1D"/>
    <w:rsid w:val="23152CE2"/>
    <w:rsid w:val="234A05BF"/>
    <w:rsid w:val="237644FD"/>
    <w:rsid w:val="237D4C82"/>
    <w:rsid w:val="238C0BD7"/>
    <w:rsid w:val="23983A20"/>
    <w:rsid w:val="239F090A"/>
    <w:rsid w:val="23D762F6"/>
    <w:rsid w:val="23DA5DE6"/>
    <w:rsid w:val="23E427C1"/>
    <w:rsid w:val="23E627D5"/>
    <w:rsid w:val="242B4894"/>
    <w:rsid w:val="243454F7"/>
    <w:rsid w:val="245009B2"/>
    <w:rsid w:val="24540A05"/>
    <w:rsid w:val="24545B99"/>
    <w:rsid w:val="245824EF"/>
    <w:rsid w:val="24594C20"/>
    <w:rsid w:val="245A2A83"/>
    <w:rsid w:val="245D50AA"/>
    <w:rsid w:val="246B6A3F"/>
    <w:rsid w:val="246C6786"/>
    <w:rsid w:val="24704055"/>
    <w:rsid w:val="24912949"/>
    <w:rsid w:val="24997A50"/>
    <w:rsid w:val="24A51F50"/>
    <w:rsid w:val="24DA6E4E"/>
    <w:rsid w:val="24E41CD1"/>
    <w:rsid w:val="24F904EE"/>
    <w:rsid w:val="25205E76"/>
    <w:rsid w:val="2547388C"/>
    <w:rsid w:val="256504FA"/>
    <w:rsid w:val="25976D26"/>
    <w:rsid w:val="25A71CF8"/>
    <w:rsid w:val="25AD76B2"/>
    <w:rsid w:val="25FF1B48"/>
    <w:rsid w:val="26241FF4"/>
    <w:rsid w:val="262E7A20"/>
    <w:rsid w:val="2641214D"/>
    <w:rsid w:val="26506AF3"/>
    <w:rsid w:val="26535508"/>
    <w:rsid w:val="2661459D"/>
    <w:rsid w:val="26AB2BB4"/>
    <w:rsid w:val="26B86DCA"/>
    <w:rsid w:val="26C6672D"/>
    <w:rsid w:val="26D92385"/>
    <w:rsid w:val="26DE64E1"/>
    <w:rsid w:val="26FE5ADC"/>
    <w:rsid w:val="27027B2E"/>
    <w:rsid w:val="27042C3A"/>
    <w:rsid w:val="27321A96"/>
    <w:rsid w:val="273B6D29"/>
    <w:rsid w:val="27492281"/>
    <w:rsid w:val="274C6FFB"/>
    <w:rsid w:val="278C1943"/>
    <w:rsid w:val="27956440"/>
    <w:rsid w:val="27C55379"/>
    <w:rsid w:val="27C76682"/>
    <w:rsid w:val="27F75C20"/>
    <w:rsid w:val="27FF406E"/>
    <w:rsid w:val="28173165"/>
    <w:rsid w:val="28186EDD"/>
    <w:rsid w:val="282D2989"/>
    <w:rsid w:val="28506677"/>
    <w:rsid w:val="288A51C0"/>
    <w:rsid w:val="289735C3"/>
    <w:rsid w:val="28A80261"/>
    <w:rsid w:val="28BB5D28"/>
    <w:rsid w:val="28DD07F9"/>
    <w:rsid w:val="28F25980"/>
    <w:rsid w:val="28F826F0"/>
    <w:rsid w:val="2907142C"/>
    <w:rsid w:val="2927562A"/>
    <w:rsid w:val="292E1FAC"/>
    <w:rsid w:val="294A0924"/>
    <w:rsid w:val="294C5AD2"/>
    <w:rsid w:val="295E3016"/>
    <w:rsid w:val="296323DA"/>
    <w:rsid w:val="296D5007"/>
    <w:rsid w:val="297D349C"/>
    <w:rsid w:val="2984482A"/>
    <w:rsid w:val="29C7330B"/>
    <w:rsid w:val="29DB01C2"/>
    <w:rsid w:val="29E65599"/>
    <w:rsid w:val="29EB3B8F"/>
    <w:rsid w:val="29FC7A85"/>
    <w:rsid w:val="2A0B0AA8"/>
    <w:rsid w:val="2A141C89"/>
    <w:rsid w:val="2A2A4058"/>
    <w:rsid w:val="2A3C5105"/>
    <w:rsid w:val="2A5D1985"/>
    <w:rsid w:val="2A64640A"/>
    <w:rsid w:val="2A720B27"/>
    <w:rsid w:val="2A905451"/>
    <w:rsid w:val="2AA529AD"/>
    <w:rsid w:val="2AA902C1"/>
    <w:rsid w:val="2AB3306A"/>
    <w:rsid w:val="2ABB5D9C"/>
    <w:rsid w:val="2AD43590"/>
    <w:rsid w:val="2ADC2444"/>
    <w:rsid w:val="2B17347C"/>
    <w:rsid w:val="2B332298"/>
    <w:rsid w:val="2B4A6E03"/>
    <w:rsid w:val="2B612949"/>
    <w:rsid w:val="2B6510BB"/>
    <w:rsid w:val="2B6C1A1A"/>
    <w:rsid w:val="2B79728B"/>
    <w:rsid w:val="2B85225B"/>
    <w:rsid w:val="2BA32F62"/>
    <w:rsid w:val="2BDA4BD6"/>
    <w:rsid w:val="2BDB1CC5"/>
    <w:rsid w:val="2BE35420"/>
    <w:rsid w:val="2BE739FD"/>
    <w:rsid w:val="2BEB54C0"/>
    <w:rsid w:val="2BFA0DD4"/>
    <w:rsid w:val="2C047EA4"/>
    <w:rsid w:val="2C351E0C"/>
    <w:rsid w:val="2C3F5DBD"/>
    <w:rsid w:val="2C695F59"/>
    <w:rsid w:val="2C9A3817"/>
    <w:rsid w:val="2CB62AD4"/>
    <w:rsid w:val="2CD870FF"/>
    <w:rsid w:val="2CE7509A"/>
    <w:rsid w:val="2CF577ED"/>
    <w:rsid w:val="2CF72792"/>
    <w:rsid w:val="2D242128"/>
    <w:rsid w:val="2D41024A"/>
    <w:rsid w:val="2D510EC7"/>
    <w:rsid w:val="2D71156A"/>
    <w:rsid w:val="2D894D2D"/>
    <w:rsid w:val="2DB65A2C"/>
    <w:rsid w:val="2DC2508A"/>
    <w:rsid w:val="2DCB3B18"/>
    <w:rsid w:val="2DED6716"/>
    <w:rsid w:val="2E0E5FB4"/>
    <w:rsid w:val="2E0F38A4"/>
    <w:rsid w:val="2E1B0895"/>
    <w:rsid w:val="2E2675D1"/>
    <w:rsid w:val="2E505623"/>
    <w:rsid w:val="2E5468A5"/>
    <w:rsid w:val="2E6115DE"/>
    <w:rsid w:val="2E7608A2"/>
    <w:rsid w:val="2E9667DB"/>
    <w:rsid w:val="2EA329DD"/>
    <w:rsid w:val="2ECB6A58"/>
    <w:rsid w:val="2EDB37F0"/>
    <w:rsid w:val="2F001A2B"/>
    <w:rsid w:val="2F050AE3"/>
    <w:rsid w:val="2F132985"/>
    <w:rsid w:val="2F3921B3"/>
    <w:rsid w:val="2F4F24DA"/>
    <w:rsid w:val="2F5527C5"/>
    <w:rsid w:val="2F860BD0"/>
    <w:rsid w:val="2F9B47BA"/>
    <w:rsid w:val="2FB8110F"/>
    <w:rsid w:val="2FB97352"/>
    <w:rsid w:val="2FBB4D1E"/>
    <w:rsid w:val="2FBE5559"/>
    <w:rsid w:val="2FFF1FEE"/>
    <w:rsid w:val="300761B5"/>
    <w:rsid w:val="30226196"/>
    <w:rsid w:val="30291525"/>
    <w:rsid w:val="305A4537"/>
    <w:rsid w:val="305C6F64"/>
    <w:rsid w:val="30806116"/>
    <w:rsid w:val="30983974"/>
    <w:rsid w:val="30E402A4"/>
    <w:rsid w:val="30F027A5"/>
    <w:rsid w:val="30FC114A"/>
    <w:rsid w:val="311D51E8"/>
    <w:rsid w:val="31331A8E"/>
    <w:rsid w:val="3163566D"/>
    <w:rsid w:val="319412B0"/>
    <w:rsid w:val="31AD68E8"/>
    <w:rsid w:val="31B632F3"/>
    <w:rsid w:val="31BE40F0"/>
    <w:rsid w:val="31C003CA"/>
    <w:rsid w:val="31C6078C"/>
    <w:rsid w:val="31D8163C"/>
    <w:rsid w:val="31EB2691"/>
    <w:rsid w:val="31EE3219"/>
    <w:rsid w:val="31FC33CC"/>
    <w:rsid w:val="3200110E"/>
    <w:rsid w:val="32195D2C"/>
    <w:rsid w:val="329C0145"/>
    <w:rsid w:val="32A710DF"/>
    <w:rsid w:val="32BB63E0"/>
    <w:rsid w:val="32E93950"/>
    <w:rsid w:val="33062754"/>
    <w:rsid w:val="330B7D6A"/>
    <w:rsid w:val="332309C0"/>
    <w:rsid w:val="333F0179"/>
    <w:rsid w:val="3341553A"/>
    <w:rsid w:val="335A484E"/>
    <w:rsid w:val="33A1422B"/>
    <w:rsid w:val="33BE4DDD"/>
    <w:rsid w:val="33C76902"/>
    <w:rsid w:val="33DA14EB"/>
    <w:rsid w:val="33DF0D1C"/>
    <w:rsid w:val="33E505BB"/>
    <w:rsid w:val="33EC67CB"/>
    <w:rsid w:val="33FF6811"/>
    <w:rsid w:val="34014CC9"/>
    <w:rsid w:val="340E3613"/>
    <w:rsid w:val="341423B6"/>
    <w:rsid w:val="34142C4F"/>
    <w:rsid w:val="34670FD0"/>
    <w:rsid w:val="346C4839"/>
    <w:rsid w:val="34FF745B"/>
    <w:rsid w:val="350D7430"/>
    <w:rsid w:val="3538644B"/>
    <w:rsid w:val="35421694"/>
    <w:rsid w:val="3554612C"/>
    <w:rsid w:val="355C2AFF"/>
    <w:rsid w:val="35770328"/>
    <w:rsid w:val="357C0A22"/>
    <w:rsid w:val="35872358"/>
    <w:rsid w:val="358A766C"/>
    <w:rsid w:val="35964985"/>
    <w:rsid w:val="3599165E"/>
    <w:rsid w:val="359E3147"/>
    <w:rsid w:val="359E319D"/>
    <w:rsid w:val="35A11BB4"/>
    <w:rsid w:val="35AE4A19"/>
    <w:rsid w:val="35B93AAE"/>
    <w:rsid w:val="35BA32FA"/>
    <w:rsid w:val="35D73F34"/>
    <w:rsid w:val="361231BE"/>
    <w:rsid w:val="36155A91"/>
    <w:rsid w:val="366967ED"/>
    <w:rsid w:val="367D2817"/>
    <w:rsid w:val="368508BD"/>
    <w:rsid w:val="36851BE2"/>
    <w:rsid w:val="36A373C2"/>
    <w:rsid w:val="36AD2EE7"/>
    <w:rsid w:val="36B3674F"/>
    <w:rsid w:val="370318C7"/>
    <w:rsid w:val="37066B72"/>
    <w:rsid w:val="370945C1"/>
    <w:rsid w:val="37122CB1"/>
    <w:rsid w:val="37361F49"/>
    <w:rsid w:val="374750E9"/>
    <w:rsid w:val="375B21C6"/>
    <w:rsid w:val="379F0A81"/>
    <w:rsid w:val="37ED207D"/>
    <w:rsid w:val="3805122C"/>
    <w:rsid w:val="38404012"/>
    <w:rsid w:val="384642ED"/>
    <w:rsid w:val="38BE13DB"/>
    <w:rsid w:val="38D31D51"/>
    <w:rsid w:val="38EF77E6"/>
    <w:rsid w:val="38F91C44"/>
    <w:rsid w:val="38F92413"/>
    <w:rsid w:val="391079F7"/>
    <w:rsid w:val="391E6D3F"/>
    <w:rsid w:val="394538AA"/>
    <w:rsid w:val="396F26D5"/>
    <w:rsid w:val="3971644D"/>
    <w:rsid w:val="399F1F1B"/>
    <w:rsid w:val="399F2FBB"/>
    <w:rsid w:val="39AF5E34"/>
    <w:rsid w:val="39B26C5B"/>
    <w:rsid w:val="39BA7DF4"/>
    <w:rsid w:val="39CB4373"/>
    <w:rsid w:val="39F74CAD"/>
    <w:rsid w:val="39F92BBE"/>
    <w:rsid w:val="3A085004"/>
    <w:rsid w:val="3A3050F0"/>
    <w:rsid w:val="3A405562"/>
    <w:rsid w:val="3A4A73CA"/>
    <w:rsid w:val="3A7E52C6"/>
    <w:rsid w:val="3A8E0644"/>
    <w:rsid w:val="3A9248CD"/>
    <w:rsid w:val="3AAD7959"/>
    <w:rsid w:val="3AC3717D"/>
    <w:rsid w:val="3ADE06F1"/>
    <w:rsid w:val="3AE72E6B"/>
    <w:rsid w:val="3AED5F33"/>
    <w:rsid w:val="3B293484"/>
    <w:rsid w:val="3B335480"/>
    <w:rsid w:val="3B4F3A27"/>
    <w:rsid w:val="3B5B317F"/>
    <w:rsid w:val="3B5D4EDB"/>
    <w:rsid w:val="3B6A4988"/>
    <w:rsid w:val="3B854432"/>
    <w:rsid w:val="3BB014AF"/>
    <w:rsid w:val="3BD10EFB"/>
    <w:rsid w:val="3BE744EC"/>
    <w:rsid w:val="3BF43C71"/>
    <w:rsid w:val="3BF515B8"/>
    <w:rsid w:val="3BF53366"/>
    <w:rsid w:val="3BF82E56"/>
    <w:rsid w:val="3BFF7230"/>
    <w:rsid w:val="3C1063F2"/>
    <w:rsid w:val="3C244220"/>
    <w:rsid w:val="3C2B78C9"/>
    <w:rsid w:val="3C2C2B34"/>
    <w:rsid w:val="3C3C71E7"/>
    <w:rsid w:val="3C827CDD"/>
    <w:rsid w:val="3C8D17F0"/>
    <w:rsid w:val="3C8F13A7"/>
    <w:rsid w:val="3C917532"/>
    <w:rsid w:val="3CA01523"/>
    <w:rsid w:val="3CAE5FD1"/>
    <w:rsid w:val="3CC005BE"/>
    <w:rsid w:val="3CC05722"/>
    <w:rsid w:val="3CC60AEE"/>
    <w:rsid w:val="3CCA65A0"/>
    <w:rsid w:val="3CDB5C3F"/>
    <w:rsid w:val="3CFA04F3"/>
    <w:rsid w:val="3D0C6FFE"/>
    <w:rsid w:val="3D3954D4"/>
    <w:rsid w:val="3D4B412B"/>
    <w:rsid w:val="3D532A3A"/>
    <w:rsid w:val="3D5A2556"/>
    <w:rsid w:val="3D714C6E"/>
    <w:rsid w:val="3DA22C77"/>
    <w:rsid w:val="3DC72AE0"/>
    <w:rsid w:val="3DCB0822"/>
    <w:rsid w:val="3DD53583"/>
    <w:rsid w:val="3E813130"/>
    <w:rsid w:val="3EAD5D04"/>
    <w:rsid w:val="3EB94B1E"/>
    <w:rsid w:val="3ECC2AA4"/>
    <w:rsid w:val="3EE15E23"/>
    <w:rsid w:val="3EF6201A"/>
    <w:rsid w:val="3F175899"/>
    <w:rsid w:val="3F2E7B74"/>
    <w:rsid w:val="3F5465F5"/>
    <w:rsid w:val="3F92316F"/>
    <w:rsid w:val="3F9B2476"/>
    <w:rsid w:val="3FA65350"/>
    <w:rsid w:val="3FB3156E"/>
    <w:rsid w:val="3FCA31AB"/>
    <w:rsid w:val="3FDB6D16"/>
    <w:rsid w:val="3FDD42E5"/>
    <w:rsid w:val="3FFC1167"/>
    <w:rsid w:val="403B1563"/>
    <w:rsid w:val="40777E00"/>
    <w:rsid w:val="40890842"/>
    <w:rsid w:val="40DC4AF4"/>
    <w:rsid w:val="40E045E4"/>
    <w:rsid w:val="40F51626"/>
    <w:rsid w:val="40F655CB"/>
    <w:rsid w:val="41110C42"/>
    <w:rsid w:val="412A3AB2"/>
    <w:rsid w:val="4138245D"/>
    <w:rsid w:val="41451B89"/>
    <w:rsid w:val="41524DB6"/>
    <w:rsid w:val="41670862"/>
    <w:rsid w:val="41670B1B"/>
    <w:rsid w:val="41727207"/>
    <w:rsid w:val="41750C2C"/>
    <w:rsid w:val="419D0727"/>
    <w:rsid w:val="41B16A4B"/>
    <w:rsid w:val="41BA2B44"/>
    <w:rsid w:val="41C3426E"/>
    <w:rsid w:val="41E50F2A"/>
    <w:rsid w:val="42253CBB"/>
    <w:rsid w:val="425A03C6"/>
    <w:rsid w:val="426D60E3"/>
    <w:rsid w:val="42C4638B"/>
    <w:rsid w:val="42CC6F80"/>
    <w:rsid w:val="42D812EB"/>
    <w:rsid w:val="42DE612D"/>
    <w:rsid w:val="42E67EAC"/>
    <w:rsid w:val="42EF518C"/>
    <w:rsid w:val="42F9198D"/>
    <w:rsid w:val="430426E5"/>
    <w:rsid w:val="43155286"/>
    <w:rsid w:val="431E40E8"/>
    <w:rsid w:val="43564826"/>
    <w:rsid w:val="43943464"/>
    <w:rsid w:val="439E067F"/>
    <w:rsid w:val="43A044FF"/>
    <w:rsid w:val="43B85E3A"/>
    <w:rsid w:val="43BB30E7"/>
    <w:rsid w:val="43EA577A"/>
    <w:rsid w:val="441237C0"/>
    <w:rsid w:val="44250560"/>
    <w:rsid w:val="44256EAB"/>
    <w:rsid w:val="44957494"/>
    <w:rsid w:val="44E65F41"/>
    <w:rsid w:val="44F36E2B"/>
    <w:rsid w:val="45041480"/>
    <w:rsid w:val="450B0FB3"/>
    <w:rsid w:val="4582193B"/>
    <w:rsid w:val="458614D2"/>
    <w:rsid w:val="459534C4"/>
    <w:rsid w:val="45B662C7"/>
    <w:rsid w:val="45B81D98"/>
    <w:rsid w:val="45C67B21"/>
    <w:rsid w:val="45DD7075"/>
    <w:rsid w:val="46184218"/>
    <w:rsid w:val="4638133D"/>
    <w:rsid w:val="46420831"/>
    <w:rsid w:val="46426453"/>
    <w:rsid w:val="464A2500"/>
    <w:rsid w:val="465A5B70"/>
    <w:rsid w:val="46712183"/>
    <w:rsid w:val="4690085B"/>
    <w:rsid w:val="46A936CA"/>
    <w:rsid w:val="46B856BC"/>
    <w:rsid w:val="46BE1C8A"/>
    <w:rsid w:val="46C15FBB"/>
    <w:rsid w:val="46D67C01"/>
    <w:rsid w:val="46E82445"/>
    <w:rsid w:val="46F3512A"/>
    <w:rsid w:val="47141242"/>
    <w:rsid w:val="471A6376"/>
    <w:rsid w:val="47356950"/>
    <w:rsid w:val="47460F19"/>
    <w:rsid w:val="476B6BD2"/>
    <w:rsid w:val="477951D1"/>
    <w:rsid w:val="47AA594C"/>
    <w:rsid w:val="47C00BA3"/>
    <w:rsid w:val="47F60B91"/>
    <w:rsid w:val="47FA3EF2"/>
    <w:rsid w:val="481024C6"/>
    <w:rsid w:val="4832149E"/>
    <w:rsid w:val="48390A7E"/>
    <w:rsid w:val="48474F49"/>
    <w:rsid w:val="485E2293"/>
    <w:rsid w:val="489A776F"/>
    <w:rsid w:val="48A46A2E"/>
    <w:rsid w:val="48A56114"/>
    <w:rsid w:val="48CE11C6"/>
    <w:rsid w:val="48FC3B85"/>
    <w:rsid w:val="49034095"/>
    <w:rsid w:val="494F06E1"/>
    <w:rsid w:val="49647D7D"/>
    <w:rsid w:val="49757894"/>
    <w:rsid w:val="49AD1724"/>
    <w:rsid w:val="49C04002"/>
    <w:rsid w:val="49CA7BE0"/>
    <w:rsid w:val="49E05655"/>
    <w:rsid w:val="49E7505B"/>
    <w:rsid w:val="49EA2030"/>
    <w:rsid w:val="4A0619B9"/>
    <w:rsid w:val="4A315EB1"/>
    <w:rsid w:val="4A435BE4"/>
    <w:rsid w:val="4A5916A0"/>
    <w:rsid w:val="4A782898"/>
    <w:rsid w:val="4A7F1811"/>
    <w:rsid w:val="4A9D4120"/>
    <w:rsid w:val="4AB03279"/>
    <w:rsid w:val="4AE935F8"/>
    <w:rsid w:val="4B137364"/>
    <w:rsid w:val="4B19324D"/>
    <w:rsid w:val="4B2A65A2"/>
    <w:rsid w:val="4B337A07"/>
    <w:rsid w:val="4B3B58A8"/>
    <w:rsid w:val="4B3D0885"/>
    <w:rsid w:val="4B4B4D50"/>
    <w:rsid w:val="4B4E4840"/>
    <w:rsid w:val="4B764FCC"/>
    <w:rsid w:val="4B7A5635"/>
    <w:rsid w:val="4B80769F"/>
    <w:rsid w:val="4B8A003E"/>
    <w:rsid w:val="4B977F95"/>
    <w:rsid w:val="4BA97CC9"/>
    <w:rsid w:val="4BBD35D6"/>
    <w:rsid w:val="4BD20FCE"/>
    <w:rsid w:val="4BDD5354"/>
    <w:rsid w:val="4C017B05"/>
    <w:rsid w:val="4C03562B"/>
    <w:rsid w:val="4C174804"/>
    <w:rsid w:val="4C211F55"/>
    <w:rsid w:val="4C3B3017"/>
    <w:rsid w:val="4C52500F"/>
    <w:rsid w:val="4C561976"/>
    <w:rsid w:val="4C76404F"/>
    <w:rsid w:val="4C804ECE"/>
    <w:rsid w:val="4CBD35E7"/>
    <w:rsid w:val="4CC052CA"/>
    <w:rsid w:val="4CE03BBE"/>
    <w:rsid w:val="4CF136D5"/>
    <w:rsid w:val="4CF431C6"/>
    <w:rsid w:val="4D5330BA"/>
    <w:rsid w:val="4D676C11"/>
    <w:rsid w:val="4D6D5452"/>
    <w:rsid w:val="4D702B40"/>
    <w:rsid w:val="4D83195C"/>
    <w:rsid w:val="4D873EC3"/>
    <w:rsid w:val="4D924EB8"/>
    <w:rsid w:val="4DBC3CE3"/>
    <w:rsid w:val="4DC20868"/>
    <w:rsid w:val="4E2875CB"/>
    <w:rsid w:val="4E347D1E"/>
    <w:rsid w:val="4E952649"/>
    <w:rsid w:val="4EB64BD7"/>
    <w:rsid w:val="4EC5783D"/>
    <w:rsid w:val="4ED94C59"/>
    <w:rsid w:val="4EF120E1"/>
    <w:rsid w:val="4F12268E"/>
    <w:rsid w:val="4F1B1777"/>
    <w:rsid w:val="4F2150E3"/>
    <w:rsid w:val="4F8B589D"/>
    <w:rsid w:val="4F9842DC"/>
    <w:rsid w:val="4FB07878"/>
    <w:rsid w:val="4FBD3D43"/>
    <w:rsid w:val="4FCD2F81"/>
    <w:rsid w:val="4FE07D6B"/>
    <w:rsid w:val="4FF537A5"/>
    <w:rsid w:val="5005554C"/>
    <w:rsid w:val="500F36D9"/>
    <w:rsid w:val="50416722"/>
    <w:rsid w:val="50454464"/>
    <w:rsid w:val="504B2D47"/>
    <w:rsid w:val="504F0E3F"/>
    <w:rsid w:val="506F1AED"/>
    <w:rsid w:val="507C59AC"/>
    <w:rsid w:val="507F59B7"/>
    <w:rsid w:val="508B3E41"/>
    <w:rsid w:val="509E5922"/>
    <w:rsid w:val="50AA46D1"/>
    <w:rsid w:val="50B913D0"/>
    <w:rsid w:val="50C01D3C"/>
    <w:rsid w:val="50CA25FA"/>
    <w:rsid w:val="50E2599C"/>
    <w:rsid w:val="50F47C38"/>
    <w:rsid w:val="510A40F0"/>
    <w:rsid w:val="512F097C"/>
    <w:rsid w:val="517D2AB0"/>
    <w:rsid w:val="518A72B9"/>
    <w:rsid w:val="51B00003"/>
    <w:rsid w:val="51D3784E"/>
    <w:rsid w:val="51F36142"/>
    <w:rsid w:val="52004BA4"/>
    <w:rsid w:val="52102850"/>
    <w:rsid w:val="52326C6A"/>
    <w:rsid w:val="52604AC2"/>
    <w:rsid w:val="52742DDF"/>
    <w:rsid w:val="527728CF"/>
    <w:rsid w:val="529444A7"/>
    <w:rsid w:val="52C75604"/>
    <w:rsid w:val="52E31D12"/>
    <w:rsid w:val="52EA07DF"/>
    <w:rsid w:val="52EA30A1"/>
    <w:rsid w:val="52F263F9"/>
    <w:rsid w:val="531B2676"/>
    <w:rsid w:val="533D58C6"/>
    <w:rsid w:val="53430A03"/>
    <w:rsid w:val="53446C55"/>
    <w:rsid w:val="53492B23"/>
    <w:rsid w:val="53764934"/>
    <w:rsid w:val="5382777D"/>
    <w:rsid w:val="538434F5"/>
    <w:rsid w:val="53F5504D"/>
    <w:rsid w:val="541D1254"/>
    <w:rsid w:val="5435330D"/>
    <w:rsid w:val="543F11CA"/>
    <w:rsid w:val="545E2A16"/>
    <w:rsid w:val="5473336A"/>
    <w:rsid w:val="54A379AB"/>
    <w:rsid w:val="54EA7388"/>
    <w:rsid w:val="54F75F49"/>
    <w:rsid w:val="55164621"/>
    <w:rsid w:val="551B39E5"/>
    <w:rsid w:val="551D59AF"/>
    <w:rsid w:val="552A482E"/>
    <w:rsid w:val="553B7BE4"/>
    <w:rsid w:val="55466588"/>
    <w:rsid w:val="55545149"/>
    <w:rsid w:val="55590B65"/>
    <w:rsid w:val="557430F6"/>
    <w:rsid w:val="558F6181"/>
    <w:rsid w:val="55935C72"/>
    <w:rsid w:val="55AE2AAB"/>
    <w:rsid w:val="55CB563C"/>
    <w:rsid w:val="56061F1F"/>
    <w:rsid w:val="5621502B"/>
    <w:rsid w:val="562330A4"/>
    <w:rsid w:val="56340787"/>
    <w:rsid w:val="564451BE"/>
    <w:rsid w:val="564C5F8D"/>
    <w:rsid w:val="56535401"/>
    <w:rsid w:val="565F0C40"/>
    <w:rsid w:val="566139B0"/>
    <w:rsid w:val="567A6414"/>
    <w:rsid w:val="569544FD"/>
    <w:rsid w:val="56B566D7"/>
    <w:rsid w:val="56F55B83"/>
    <w:rsid w:val="57014E5D"/>
    <w:rsid w:val="572648C3"/>
    <w:rsid w:val="57606344"/>
    <w:rsid w:val="579131B3"/>
    <w:rsid w:val="57A31A70"/>
    <w:rsid w:val="57B86FFE"/>
    <w:rsid w:val="57BE68AA"/>
    <w:rsid w:val="57F4051E"/>
    <w:rsid w:val="580D1F08"/>
    <w:rsid w:val="58421141"/>
    <w:rsid w:val="584833F0"/>
    <w:rsid w:val="585556F6"/>
    <w:rsid w:val="58A82286"/>
    <w:rsid w:val="58AC4EEE"/>
    <w:rsid w:val="58D36385"/>
    <w:rsid w:val="58DF2F7C"/>
    <w:rsid w:val="58E6430A"/>
    <w:rsid w:val="590A1269"/>
    <w:rsid w:val="59303A19"/>
    <w:rsid w:val="595B74B4"/>
    <w:rsid w:val="595F0856"/>
    <w:rsid w:val="596671F9"/>
    <w:rsid w:val="59A71CEC"/>
    <w:rsid w:val="59B04291"/>
    <w:rsid w:val="59DD395F"/>
    <w:rsid w:val="59E86407"/>
    <w:rsid w:val="5A040EEC"/>
    <w:rsid w:val="5A04713E"/>
    <w:rsid w:val="5A365783"/>
    <w:rsid w:val="5A3A2B60"/>
    <w:rsid w:val="5A4A4CDF"/>
    <w:rsid w:val="5A51090E"/>
    <w:rsid w:val="5A7F0572"/>
    <w:rsid w:val="5A80465B"/>
    <w:rsid w:val="5A820986"/>
    <w:rsid w:val="5AA20705"/>
    <w:rsid w:val="5AB446F8"/>
    <w:rsid w:val="5ABA2A7F"/>
    <w:rsid w:val="5ABF3065"/>
    <w:rsid w:val="5AE12FDB"/>
    <w:rsid w:val="5AE42ACB"/>
    <w:rsid w:val="5AEA7BB5"/>
    <w:rsid w:val="5B2353A2"/>
    <w:rsid w:val="5B9833FC"/>
    <w:rsid w:val="5BA67D81"/>
    <w:rsid w:val="5BC00E43"/>
    <w:rsid w:val="5BC75F7D"/>
    <w:rsid w:val="5C27377C"/>
    <w:rsid w:val="5C2C64D8"/>
    <w:rsid w:val="5C376CF1"/>
    <w:rsid w:val="5C4C6B7A"/>
    <w:rsid w:val="5C524906"/>
    <w:rsid w:val="5C91313F"/>
    <w:rsid w:val="5CBD5382"/>
    <w:rsid w:val="5CE46DB3"/>
    <w:rsid w:val="5CF3349A"/>
    <w:rsid w:val="5CF73A32"/>
    <w:rsid w:val="5D0F1C11"/>
    <w:rsid w:val="5D7C348F"/>
    <w:rsid w:val="5D9E6F62"/>
    <w:rsid w:val="5DAD7A63"/>
    <w:rsid w:val="5DB12963"/>
    <w:rsid w:val="5DBB290C"/>
    <w:rsid w:val="5DDB01B6"/>
    <w:rsid w:val="5DE828D3"/>
    <w:rsid w:val="5DEC2753"/>
    <w:rsid w:val="5DF71FF0"/>
    <w:rsid w:val="5DF92ED0"/>
    <w:rsid w:val="5E08087F"/>
    <w:rsid w:val="5E1F0C11"/>
    <w:rsid w:val="5E2751A9"/>
    <w:rsid w:val="5E8C5954"/>
    <w:rsid w:val="5E9131FE"/>
    <w:rsid w:val="5EB63CC7"/>
    <w:rsid w:val="5EDD232E"/>
    <w:rsid w:val="5EF157B7"/>
    <w:rsid w:val="5F053010"/>
    <w:rsid w:val="5F304531"/>
    <w:rsid w:val="5F77606D"/>
    <w:rsid w:val="5FB44C31"/>
    <w:rsid w:val="5FC2601F"/>
    <w:rsid w:val="5FC37153"/>
    <w:rsid w:val="5FD255E8"/>
    <w:rsid w:val="5FE96067"/>
    <w:rsid w:val="5FED1E6F"/>
    <w:rsid w:val="5FEE0EAB"/>
    <w:rsid w:val="600650AC"/>
    <w:rsid w:val="60281B45"/>
    <w:rsid w:val="602837DB"/>
    <w:rsid w:val="60461BC0"/>
    <w:rsid w:val="60595773"/>
    <w:rsid w:val="605B3830"/>
    <w:rsid w:val="60762184"/>
    <w:rsid w:val="60794787"/>
    <w:rsid w:val="607A6509"/>
    <w:rsid w:val="608C09CC"/>
    <w:rsid w:val="608D150F"/>
    <w:rsid w:val="60C2740B"/>
    <w:rsid w:val="60D94755"/>
    <w:rsid w:val="60E46382"/>
    <w:rsid w:val="60E6759D"/>
    <w:rsid w:val="61083D56"/>
    <w:rsid w:val="610B3215"/>
    <w:rsid w:val="612105D5"/>
    <w:rsid w:val="61271964"/>
    <w:rsid w:val="61461DEA"/>
    <w:rsid w:val="615564D1"/>
    <w:rsid w:val="61616C24"/>
    <w:rsid w:val="616D2169"/>
    <w:rsid w:val="61702953"/>
    <w:rsid w:val="61954B1F"/>
    <w:rsid w:val="61B50D1E"/>
    <w:rsid w:val="61D920E0"/>
    <w:rsid w:val="61DE64C6"/>
    <w:rsid w:val="61E260EE"/>
    <w:rsid w:val="61E564BF"/>
    <w:rsid w:val="62015D11"/>
    <w:rsid w:val="622639C9"/>
    <w:rsid w:val="62285994"/>
    <w:rsid w:val="623C09FA"/>
    <w:rsid w:val="625F377B"/>
    <w:rsid w:val="6263743D"/>
    <w:rsid w:val="626D784A"/>
    <w:rsid w:val="62A51864"/>
    <w:rsid w:val="62B72874"/>
    <w:rsid w:val="62DB0C58"/>
    <w:rsid w:val="62E33669"/>
    <w:rsid w:val="62F2288D"/>
    <w:rsid w:val="63091321"/>
    <w:rsid w:val="63112AFD"/>
    <w:rsid w:val="63170935"/>
    <w:rsid w:val="63291345"/>
    <w:rsid w:val="633804B5"/>
    <w:rsid w:val="633B6B97"/>
    <w:rsid w:val="63407906"/>
    <w:rsid w:val="6374782A"/>
    <w:rsid w:val="63755EBC"/>
    <w:rsid w:val="63937C6E"/>
    <w:rsid w:val="63A707BD"/>
    <w:rsid w:val="63D03F49"/>
    <w:rsid w:val="63D538F9"/>
    <w:rsid w:val="63D63E84"/>
    <w:rsid w:val="63DC07E4"/>
    <w:rsid w:val="640E2967"/>
    <w:rsid w:val="64273124"/>
    <w:rsid w:val="64526CF8"/>
    <w:rsid w:val="64902A2A"/>
    <w:rsid w:val="649D0B69"/>
    <w:rsid w:val="649E3CEB"/>
    <w:rsid w:val="64B14FF4"/>
    <w:rsid w:val="64DE2339"/>
    <w:rsid w:val="64DE67DD"/>
    <w:rsid w:val="64ED46CA"/>
    <w:rsid w:val="6545060B"/>
    <w:rsid w:val="657333CA"/>
    <w:rsid w:val="65B85280"/>
    <w:rsid w:val="65BD63F3"/>
    <w:rsid w:val="65F411D1"/>
    <w:rsid w:val="660D1128"/>
    <w:rsid w:val="6646463A"/>
    <w:rsid w:val="664E39F8"/>
    <w:rsid w:val="6659611C"/>
    <w:rsid w:val="6660394E"/>
    <w:rsid w:val="66637257"/>
    <w:rsid w:val="669C5C74"/>
    <w:rsid w:val="66F549FB"/>
    <w:rsid w:val="670A33DE"/>
    <w:rsid w:val="676A26EB"/>
    <w:rsid w:val="677D22DE"/>
    <w:rsid w:val="677D5E3A"/>
    <w:rsid w:val="67816E0B"/>
    <w:rsid w:val="6796514D"/>
    <w:rsid w:val="67B6759E"/>
    <w:rsid w:val="67D53EC8"/>
    <w:rsid w:val="67E16AAF"/>
    <w:rsid w:val="67E24ED0"/>
    <w:rsid w:val="680117A9"/>
    <w:rsid w:val="680954B4"/>
    <w:rsid w:val="68131747"/>
    <w:rsid w:val="681B08E1"/>
    <w:rsid w:val="68337736"/>
    <w:rsid w:val="683747AF"/>
    <w:rsid w:val="68437083"/>
    <w:rsid w:val="684626D0"/>
    <w:rsid w:val="6846452C"/>
    <w:rsid w:val="684D3A5E"/>
    <w:rsid w:val="68541AF0"/>
    <w:rsid w:val="686D4100"/>
    <w:rsid w:val="686E47AA"/>
    <w:rsid w:val="6870132D"/>
    <w:rsid w:val="688558EE"/>
    <w:rsid w:val="688B27D8"/>
    <w:rsid w:val="68B211C7"/>
    <w:rsid w:val="68B433CA"/>
    <w:rsid w:val="68CC52CB"/>
    <w:rsid w:val="68D70AB9"/>
    <w:rsid w:val="68DC3904"/>
    <w:rsid w:val="68EE5B8A"/>
    <w:rsid w:val="68F94129"/>
    <w:rsid w:val="690B56C7"/>
    <w:rsid w:val="69180510"/>
    <w:rsid w:val="69230C63"/>
    <w:rsid w:val="692C7B17"/>
    <w:rsid w:val="692F13B6"/>
    <w:rsid w:val="694C01BA"/>
    <w:rsid w:val="69531548"/>
    <w:rsid w:val="6953779A"/>
    <w:rsid w:val="69760324"/>
    <w:rsid w:val="699729CE"/>
    <w:rsid w:val="69E03C1B"/>
    <w:rsid w:val="69EB5F78"/>
    <w:rsid w:val="69FA19C4"/>
    <w:rsid w:val="6A097E59"/>
    <w:rsid w:val="6A116D0D"/>
    <w:rsid w:val="6A325314"/>
    <w:rsid w:val="6A425119"/>
    <w:rsid w:val="6A4A3D0D"/>
    <w:rsid w:val="6A503CD9"/>
    <w:rsid w:val="6A707ED8"/>
    <w:rsid w:val="6AA71193"/>
    <w:rsid w:val="6ADA17F5"/>
    <w:rsid w:val="6B1A2FCA"/>
    <w:rsid w:val="6B3C04CC"/>
    <w:rsid w:val="6B3C2682"/>
    <w:rsid w:val="6B712159"/>
    <w:rsid w:val="6B7901B0"/>
    <w:rsid w:val="6B8B3E50"/>
    <w:rsid w:val="6B8F572F"/>
    <w:rsid w:val="6B9B2D32"/>
    <w:rsid w:val="6BAE6F0A"/>
    <w:rsid w:val="6BC42277"/>
    <w:rsid w:val="6C030E67"/>
    <w:rsid w:val="6C217FFD"/>
    <w:rsid w:val="6C4C0337"/>
    <w:rsid w:val="6C506ACD"/>
    <w:rsid w:val="6C5A2BED"/>
    <w:rsid w:val="6C6677E4"/>
    <w:rsid w:val="6C7812C6"/>
    <w:rsid w:val="6CDE676F"/>
    <w:rsid w:val="6D035033"/>
    <w:rsid w:val="6D1A6D27"/>
    <w:rsid w:val="6D232EDE"/>
    <w:rsid w:val="6D27625A"/>
    <w:rsid w:val="6D4F2026"/>
    <w:rsid w:val="6D703FD4"/>
    <w:rsid w:val="6D7C2724"/>
    <w:rsid w:val="6DAA3331"/>
    <w:rsid w:val="6DCF13B9"/>
    <w:rsid w:val="6DD23FBE"/>
    <w:rsid w:val="6DE02A78"/>
    <w:rsid w:val="6DE41559"/>
    <w:rsid w:val="6DF36E56"/>
    <w:rsid w:val="6DFB5D0A"/>
    <w:rsid w:val="6E1D3020"/>
    <w:rsid w:val="6E1D5B5B"/>
    <w:rsid w:val="6E2F3C06"/>
    <w:rsid w:val="6E3E0F6E"/>
    <w:rsid w:val="6E4F7E89"/>
    <w:rsid w:val="6E750C9F"/>
    <w:rsid w:val="6E783D40"/>
    <w:rsid w:val="6E7855AD"/>
    <w:rsid w:val="6E8126B3"/>
    <w:rsid w:val="6EBA3D3A"/>
    <w:rsid w:val="6ECC79F3"/>
    <w:rsid w:val="6ECD58F9"/>
    <w:rsid w:val="6EDF562C"/>
    <w:rsid w:val="6EE90FC7"/>
    <w:rsid w:val="6EF6099F"/>
    <w:rsid w:val="6F1928EC"/>
    <w:rsid w:val="6F1A6664"/>
    <w:rsid w:val="6F4D7173"/>
    <w:rsid w:val="6F975F07"/>
    <w:rsid w:val="6FAF14A2"/>
    <w:rsid w:val="6FC767EC"/>
    <w:rsid w:val="6FD74555"/>
    <w:rsid w:val="6FFF5974"/>
    <w:rsid w:val="701337DF"/>
    <w:rsid w:val="701632CF"/>
    <w:rsid w:val="703D085C"/>
    <w:rsid w:val="70556DB5"/>
    <w:rsid w:val="709F2DDB"/>
    <w:rsid w:val="70B7060E"/>
    <w:rsid w:val="70C23EF6"/>
    <w:rsid w:val="70D70CB1"/>
    <w:rsid w:val="70DF2FE4"/>
    <w:rsid w:val="70E64C2D"/>
    <w:rsid w:val="70F829D5"/>
    <w:rsid w:val="711517D9"/>
    <w:rsid w:val="711A294B"/>
    <w:rsid w:val="71422590"/>
    <w:rsid w:val="714E4D0A"/>
    <w:rsid w:val="71526589"/>
    <w:rsid w:val="71567634"/>
    <w:rsid w:val="715869B8"/>
    <w:rsid w:val="716F0EE9"/>
    <w:rsid w:val="717B5AE0"/>
    <w:rsid w:val="71F96A05"/>
    <w:rsid w:val="722506CF"/>
    <w:rsid w:val="722F72D2"/>
    <w:rsid w:val="723D0FE7"/>
    <w:rsid w:val="726A7902"/>
    <w:rsid w:val="728E539F"/>
    <w:rsid w:val="72933BE0"/>
    <w:rsid w:val="72B74FBB"/>
    <w:rsid w:val="72BA43E6"/>
    <w:rsid w:val="72DD64A0"/>
    <w:rsid w:val="730613D9"/>
    <w:rsid w:val="7318735E"/>
    <w:rsid w:val="73522870"/>
    <w:rsid w:val="735465E8"/>
    <w:rsid w:val="73974727"/>
    <w:rsid w:val="73A6496A"/>
    <w:rsid w:val="73D54B3C"/>
    <w:rsid w:val="73F76F74"/>
    <w:rsid w:val="73F87572"/>
    <w:rsid w:val="74101121"/>
    <w:rsid w:val="7422377C"/>
    <w:rsid w:val="743E447A"/>
    <w:rsid w:val="744A1799"/>
    <w:rsid w:val="7450144E"/>
    <w:rsid w:val="74650881"/>
    <w:rsid w:val="747D56CB"/>
    <w:rsid w:val="748318A4"/>
    <w:rsid w:val="748702F8"/>
    <w:rsid w:val="74912C08"/>
    <w:rsid w:val="74B82BA7"/>
    <w:rsid w:val="74C923AE"/>
    <w:rsid w:val="75011D61"/>
    <w:rsid w:val="75022074"/>
    <w:rsid w:val="752D1C55"/>
    <w:rsid w:val="75355FA6"/>
    <w:rsid w:val="754E350B"/>
    <w:rsid w:val="75864A53"/>
    <w:rsid w:val="759F78C3"/>
    <w:rsid w:val="75A527FA"/>
    <w:rsid w:val="75DC4673"/>
    <w:rsid w:val="75F25C45"/>
    <w:rsid w:val="7621740A"/>
    <w:rsid w:val="76500BBD"/>
    <w:rsid w:val="766B580D"/>
    <w:rsid w:val="7671125F"/>
    <w:rsid w:val="76740D50"/>
    <w:rsid w:val="76760624"/>
    <w:rsid w:val="767B3E8C"/>
    <w:rsid w:val="76991958"/>
    <w:rsid w:val="76A50F09"/>
    <w:rsid w:val="76B47BF0"/>
    <w:rsid w:val="76C47ADD"/>
    <w:rsid w:val="76EF1303"/>
    <w:rsid w:val="771F6E38"/>
    <w:rsid w:val="774A385E"/>
    <w:rsid w:val="774C5829"/>
    <w:rsid w:val="7750356B"/>
    <w:rsid w:val="775F555C"/>
    <w:rsid w:val="777F5BFE"/>
    <w:rsid w:val="7780615A"/>
    <w:rsid w:val="77B21B30"/>
    <w:rsid w:val="77B358A8"/>
    <w:rsid w:val="77D25D2E"/>
    <w:rsid w:val="77E41132"/>
    <w:rsid w:val="78362761"/>
    <w:rsid w:val="78465F5D"/>
    <w:rsid w:val="784B3BB7"/>
    <w:rsid w:val="784D3606"/>
    <w:rsid w:val="785F3DAE"/>
    <w:rsid w:val="787119EB"/>
    <w:rsid w:val="78847E85"/>
    <w:rsid w:val="788D7EA7"/>
    <w:rsid w:val="789B25C4"/>
    <w:rsid w:val="78A51694"/>
    <w:rsid w:val="78C3256F"/>
    <w:rsid w:val="78C723AA"/>
    <w:rsid w:val="78D930EC"/>
    <w:rsid w:val="78DB6BE4"/>
    <w:rsid w:val="78F74CF4"/>
    <w:rsid w:val="79030169"/>
    <w:rsid w:val="7930468B"/>
    <w:rsid w:val="79314CD6"/>
    <w:rsid w:val="793E49D2"/>
    <w:rsid w:val="796926C2"/>
    <w:rsid w:val="79760F56"/>
    <w:rsid w:val="79766B8D"/>
    <w:rsid w:val="798E776C"/>
    <w:rsid w:val="79985F6B"/>
    <w:rsid w:val="79AE4579"/>
    <w:rsid w:val="79E23DD8"/>
    <w:rsid w:val="79E44DF8"/>
    <w:rsid w:val="7A0D74F1"/>
    <w:rsid w:val="7A262C7B"/>
    <w:rsid w:val="7A455D27"/>
    <w:rsid w:val="7A765096"/>
    <w:rsid w:val="7A8B6668"/>
    <w:rsid w:val="7AA00365"/>
    <w:rsid w:val="7ABA3126"/>
    <w:rsid w:val="7AC676A0"/>
    <w:rsid w:val="7ADF7905"/>
    <w:rsid w:val="7AEC5358"/>
    <w:rsid w:val="7AFFDD96"/>
    <w:rsid w:val="7B5D1DB2"/>
    <w:rsid w:val="7B933A26"/>
    <w:rsid w:val="7BA43E85"/>
    <w:rsid w:val="7BD87976"/>
    <w:rsid w:val="7BE339DF"/>
    <w:rsid w:val="7BF2699E"/>
    <w:rsid w:val="7C035E63"/>
    <w:rsid w:val="7C0534F8"/>
    <w:rsid w:val="7C091539"/>
    <w:rsid w:val="7C254E02"/>
    <w:rsid w:val="7C3A78E5"/>
    <w:rsid w:val="7C3C0459"/>
    <w:rsid w:val="7C550D35"/>
    <w:rsid w:val="7C5F1B5A"/>
    <w:rsid w:val="7C662EC8"/>
    <w:rsid w:val="7C703480"/>
    <w:rsid w:val="7CB023B6"/>
    <w:rsid w:val="7CCB71F0"/>
    <w:rsid w:val="7CD479E4"/>
    <w:rsid w:val="7CD75B94"/>
    <w:rsid w:val="7CD9190C"/>
    <w:rsid w:val="7CE87DA1"/>
    <w:rsid w:val="7D054D26"/>
    <w:rsid w:val="7D064084"/>
    <w:rsid w:val="7D0741BB"/>
    <w:rsid w:val="7D0A7D18"/>
    <w:rsid w:val="7D0D7808"/>
    <w:rsid w:val="7D1B2A25"/>
    <w:rsid w:val="7D284642"/>
    <w:rsid w:val="7D360B0D"/>
    <w:rsid w:val="7D3D1E9B"/>
    <w:rsid w:val="7D407BDD"/>
    <w:rsid w:val="7D441CBC"/>
    <w:rsid w:val="7D752025"/>
    <w:rsid w:val="7D7F0706"/>
    <w:rsid w:val="7D815E22"/>
    <w:rsid w:val="7D9121E7"/>
    <w:rsid w:val="7D951C0B"/>
    <w:rsid w:val="7DA168CE"/>
    <w:rsid w:val="7DA555E7"/>
    <w:rsid w:val="7DAC607A"/>
    <w:rsid w:val="7DAC79DD"/>
    <w:rsid w:val="7DBB6E2E"/>
    <w:rsid w:val="7DBD122E"/>
    <w:rsid w:val="7DE84A5B"/>
    <w:rsid w:val="7E0631F5"/>
    <w:rsid w:val="7E176B90"/>
    <w:rsid w:val="7E20274A"/>
    <w:rsid w:val="7E582D05"/>
    <w:rsid w:val="7E5C2499"/>
    <w:rsid w:val="7E652153"/>
    <w:rsid w:val="7E7A0ECD"/>
    <w:rsid w:val="7EB566D6"/>
    <w:rsid w:val="7EBA0984"/>
    <w:rsid w:val="7EC108AA"/>
    <w:rsid w:val="7EC6452A"/>
    <w:rsid w:val="7EDC789A"/>
    <w:rsid w:val="7EEA1BAF"/>
    <w:rsid w:val="7F182BC0"/>
    <w:rsid w:val="7F601E71"/>
    <w:rsid w:val="7F995383"/>
    <w:rsid w:val="7FA36202"/>
    <w:rsid w:val="7FC34554"/>
    <w:rsid w:val="7FCE3939"/>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3">
    <w:name w:val="heading 2"/>
    <w:basedOn w:val="1"/>
    <w:next w:val="1"/>
    <w:link w:val="393"/>
    <w:autoRedefine/>
    <w:qFormat/>
    <w:uiPriority w:val="9"/>
    <w:pPr>
      <w:keepNext/>
      <w:keepLines/>
      <w:spacing w:before="260" w:after="260" w:line="400" w:lineRule="atLeast"/>
      <w:ind w:firstLine="0" w:firstLineChars="0"/>
      <w:jc w:val="center"/>
      <w:outlineLvl w:val="1"/>
    </w:pPr>
    <w:rPr>
      <w:rFonts w:ascii="Arial" w:hAnsi="Arial" w:eastAsia="黑体"/>
      <w:b/>
      <w:sz w:val="32"/>
      <w:szCs w:val="20"/>
    </w:rPr>
  </w:style>
  <w:style w:type="paragraph" w:styleId="4">
    <w:name w:val="heading 3"/>
    <w:basedOn w:val="1"/>
    <w:link w:val="100"/>
    <w:autoRedefine/>
    <w:qFormat/>
    <w:uiPriority w:val="0"/>
    <w:pPr>
      <w:keepNext/>
      <w:keepLines/>
      <w:spacing w:before="260" w:after="260" w:line="416" w:lineRule="auto"/>
      <w:outlineLvl w:val="2"/>
    </w:pPr>
    <w:rPr>
      <w:b/>
      <w:kern w:val="0"/>
      <w:sz w:val="32"/>
      <w:szCs w:val="20"/>
    </w:rPr>
  </w:style>
  <w:style w:type="paragraph" w:styleId="5">
    <w:name w:val="heading 4"/>
    <w:basedOn w:val="1"/>
    <w:link w:val="12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0"/>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1"/>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12"/>
    <w:autoRedefine/>
    <w:qFormat/>
    <w:uiPriority w:val="0"/>
    <w:pPr>
      <w:ind w:firstLine="420"/>
    </w:pPr>
    <w:rPr>
      <w:rFonts w:ascii="宋体"/>
      <w:sz w:val="30"/>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99"/>
    <w:pPr>
      <w:numPr>
        <w:ilvl w:val="0"/>
        <w:numId w:val="1"/>
      </w:numPr>
    </w:pPr>
  </w:style>
  <w:style w:type="paragraph" w:styleId="15">
    <w:name w:val="Document Map"/>
    <w:basedOn w:val="1"/>
    <w:link w:val="157"/>
    <w:autoRedefine/>
    <w:qFormat/>
    <w:uiPriority w:val="0"/>
    <w:pPr>
      <w:shd w:val="clear" w:color="auto" w:fill="000080"/>
    </w:pPr>
    <w:rPr>
      <w:sz w:val="24"/>
      <w:szCs w:val="20"/>
      <w:shd w:val="clear" w:color="auto" w:fill="000080"/>
    </w:rPr>
  </w:style>
  <w:style w:type="paragraph" w:styleId="16">
    <w:name w:val="annotation text"/>
    <w:basedOn w:val="1"/>
    <w:link w:val="109"/>
    <w:autoRedefine/>
    <w:qFormat/>
    <w:uiPriority w:val="0"/>
    <w:pPr>
      <w:jc w:val="left"/>
    </w:pPr>
  </w:style>
  <w:style w:type="paragraph" w:styleId="17">
    <w:name w:val="Body Text 3"/>
    <w:basedOn w:val="1"/>
    <w:link w:val="74"/>
    <w:autoRedefine/>
    <w:qFormat/>
    <w:uiPriority w:val="0"/>
    <w:pPr>
      <w:spacing w:after="120"/>
    </w:pPr>
    <w:rPr>
      <w:kern w:val="0"/>
      <w:sz w:val="16"/>
      <w:szCs w:val="16"/>
    </w:rPr>
  </w:style>
  <w:style w:type="paragraph" w:styleId="18">
    <w:name w:val="Body Text"/>
    <w:basedOn w:val="1"/>
    <w:next w:val="19"/>
    <w:link w:val="75"/>
    <w:autoRedefine/>
    <w:qFormat/>
    <w:uiPriority w:val="0"/>
    <w:pPr>
      <w:spacing w:after="120"/>
    </w:pPr>
  </w:style>
  <w:style w:type="paragraph" w:styleId="19">
    <w:name w:val="Body Text First Indent"/>
    <w:basedOn w:val="18"/>
    <w:link w:val="91"/>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20">
    <w:name w:val="Body Text Indent"/>
    <w:basedOn w:val="1"/>
    <w:next w:val="21"/>
    <w:link w:val="325"/>
    <w:autoRedefine/>
    <w:qFormat/>
    <w:uiPriority w:val="0"/>
    <w:pPr>
      <w:spacing w:after="120"/>
      <w:ind w:left="420" w:leftChars="200"/>
    </w:pPr>
  </w:style>
  <w:style w:type="paragraph" w:styleId="21">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25"/>
    <w:next w:val="25"/>
    <w:autoRedefine/>
    <w:qFormat/>
    <w:uiPriority w:val="39"/>
    <w:pPr>
      <w:ind w:left="420"/>
      <w:jc w:val="left"/>
    </w:pPr>
    <w:rPr>
      <w:rFonts w:asciiTheme="minorHAnsi" w:hAnsiTheme="minorHAnsi" w:cstheme="minorHAnsi"/>
      <w:i/>
      <w:iCs/>
      <w:sz w:val="20"/>
      <w:szCs w:val="20"/>
    </w:rPr>
  </w:style>
  <w:style w:type="paragraph" w:customStyle="1" w:styleId="25">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6">
    <w:name w:val="Plain Text"/>
    <w:basedOn w:val="1"/>
    <w:link w:val="99"/>
    <w:autoRedefine/>
    <w:qFormat/>
    <w:uiPriority w:val="0"/>
    <w:rPr>
      <w:rFonts w:ascii="宋体" w:hAnsi="Courier New"/>
      <w:kern w:val="0"/>
      <w:sz w:val="20"/>
      <w:szCs w:val="20"/>
    </w:rPr>
  </w:style>
  <w:style w:type="paragraph" w:styleId="27">
    <w:name w:val="toc 8"/>
    <w:basedOn w:val="1"/>
    <w:next w:val="1"/>
    <w:autoRedefine/>
    <w:qFormat/>
    <w:uiPriority w:val="39"/>
    <w:pPr>
      <w:ind w:left="1470"/>
      <w:jc w:val="left"/>
    </w:pPr>
    <w:rPr>
      <w:rFonts w:asciiTheme="minorHAnsi" w:hAnsiTheme="minorHAnsi" w:cstheme="minorHAnsi"/>
      <w:sz w:val="18"/>
      <w:szCs w:val="18"/>
    </w:rPr>
  </w:style>
  <w:style w:type="paragraph" w:styleId="28">
    <w:name w:val="Date"/>
    <w:basedOn w:val="1"/>
    <w:next w:val="1"/>
    <w:link w:val="117"/>
    <w:autoRedefine/>
    <w:qFormat/>
    <w:uiPriority w:val="0"/>
    <w:pPr>
      <w:ind w:left="100" w:leftChars="2500"/>
    </w:pPr>
    <w:rPr>
      <w:sz w:val="24"/>
      <w:szCs w:val="20"/>
    </w:rPr>
  </w:style>
  <w:style w:type="paragraph" w:styleId="29">
    <w:name w:val="Body Text Indent 2"/>
    <w:basedOn w:val="1"/>
    <w:link w:val="173"/>
    <w:autoRedefine/>
    <w:qFormat/>
    <w:uiPriority w:val="0"/>
    <w:pPr>
      <w:spacing w:after="120" w:line="480" w:lineRule="auto"/>
      <w:ind w:left="420" w:leftChars="200"/>
    </w:pPr>
    <w:rPr>
      <w:sz w:val="24"/>
      <w:szCs w:val="20"/>
    </w:rPr>
  </w:style>
  <w:style w:type="paragraph" w:styleId="30">
    <w:name w:val="endnote text"/>
    <w:basedOn w:val="1"/>
    <w:link w:val="80"/>
    <w:autoRedefine/>
    <w:qFormat/>
    <w:uiPriority w:val="0"/>
    <w:pPr>
      <w:snapToGrid w:val="0"/>
      <w:jc w:val="left"/>
    </w:pPr>
    <w:rPr>
      <w:b/>
    </w:rPr>
  </w:style>
  <w:style w:type="paragraph" w:styleId="31">
    <w:name w:val="Balloon Text"/>
    <w:basedOn w:val="1"/>
    <w:link w:val="107"/>
    <w:autoRedefine/>
    <w:qFormat/>
    <w:uiPriority w:val="0"/>
    <w:rPr>
      <w:sz w:val="18"/>
      <w:szCs w:val="18"/>
    </w:rPr>
  </w:style>
  <w:style w:type="paragraph" w:styleId="32">
    <w:name w:val="footer"/>
    <w:basedOn w:val="1"/>
    <w:link w:val="94"/>
    <w:autoRedefine/>
    <w:qFormat/>
    <w:uiPriority w:val="99"/>
    <w:pPr>
      <w:tabs>
        <w:tab w:val="center" w:pos="4153"/>
        <w:tab w:val="right" w:pos="8306"/>
      </w:tabs>
      <w:snapToGrid w:val="0"/>
      <w:jc w:val="left"/>
    </w:pPr>
    <w:rPr>
      <w:sz w:val="18"/>
      <w:szCs w:val="18"/>
    </w:rPr>
  </w:style>
  <w:style w:type="paragraph" w:styleId="33">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5">
    <w:name w:val="toc 4"/>
    <w:basedOn w:val="25"/>
    <w:next w:val="25"/>
    <w:autoRedefine/>
    <w:qFormat/>
    <w:uiPriority w:val="39"/>
    <w:pPr>
      <w:ind w:left="630"/>
      <w:jc w:val="left"/>
    </w:pPr>
    <w:rPr>
      <w:rFonts w:asciiTheme="minorHAnsi" w:hAnsiTheme="minorHAnsi" w:cstheme="minorHAnsi"/>
      <w:sz w:val="18"/>
      <w:szCs w:val="18"/>
    </w:rPr>
  </w:style>
  <w:style w:type="paragraph" w:styleId="36">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8">
    <w:name w:val="toc 6"/>
    <w:basedOn w:val="1"/>
    <w:next w:val="1"/>
    <w:autoRedefine/>
    <w:qFormat/>
    <w:uiPriority w:val="39"/>
    <w:pPr>
      <w:ind w:left="1050"/>
      <w:jc w:val="left"/>
    </w:pPr>
    <w:rPr>
      <w:rFonts w:asciiTheme="minorHAnsi" w:hAnsiTheme="minorHAnsi" w:cstheme="minorHAnsi"/>
      <w:sz w:val="18"/>
      <w:szCs w:val="18"/>
    </w:rPr>
  </w:style>
  <w:style w:type="paragraph" w:styleId="39">
    <w:name w:val="Body Text Indent 3"/>
    <w:basedOn w:val="1"/>
    <w:link w:val="86"/>
    <w:autoRedefine/>
    <w:qFormat/>
    <w:uiPriority w:val="0"/>
    <w:pPr>
      <w:tabs>
        <w:tab w:val="left" w:pos="1155"/>
      </w:tabs>
      <w:spacing w:line="480" w:lineRule="exact"/>
      <w:ind w:firstLine="420" w:firstLineChars="150"/>
    </w:pPr>
    <w:rPr>
      <w:kern w:val="0"/>
      <w:sz w:val="28"/>
    </w:rPr>
  </w:style>
  <w:style w:type="paragraph" w:styleId="40">
    <w:name w:val="toc 2"/>
    <w:basedOn w:val="1"/>
    <w:next w:val="1"/>
    <w:autoRedefine/>
    <w:qFormat/>
    <w:uiPriority w:val="39"/>
    <w:pPr>
      <w:ind w:left="210"/>
      <w:jc w:val="left"/>
    </w:pPr>
    <w:rPr>
      <w:rFonts w:asciiTheme="minorHAnsi" w:hAnsiTheme="minorHAnsi" w:cstheme="minorHAnsi"/>
      <w:smallCaps/>
      <w:sz w:val="20"/>
      <w:szCs w:val="20"/>
    </w:rPr>
  </w:style>
  <w:style w:type="paragraph" w:styleId="41">
    <w:name w:val="toc 9"/>
    <w:basedOn w:val="1"/>
    <w:next w:val="1"/>
    <w:autoRedefine/>
    <w:qFormat/>
    <w:uiPriority w:val="39"/>
    <w:pPr>
      <w:ind w:left="1680"/>
      <w:jc w:val="left"/>
    </w:pPr>
    <w:rPr>
      <w:rFonts w:asciiTheme="minorHAnsi" w:hAnsiTheme="minorHAnsi" w:cstheme="minorHAnsi"/>
      <w:sz w:val="18"/>
      <w:szCs w:val="18"/>
    </w:rPr>
  </w:style>
  <w:style w:type="paragraph" w:styleId="42">
    <w:name w:val="Body Text 2"/>
    <w:basedOn w:val="1"/>
    <w:link w:val="87"/>
    <w:autoRedefine/>
    <w:qFormat/>
    <w:uiPriority w:val="0"/>
    <w:pPr>
      <w:spacing w:after="120" w:line="480" w:lineRule="auto"/>
    </w:pPr>
    <w:rPr>
      <w:sz w:val="24"/>
      <w:szCs w:val="20"/>
    </w:rPr>
  </w:style>
  <w:style w:type="paragraph" w:styleId="43">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5">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6">
    <w:name w:val="annotation subject"/>
    <w:basedOn w:val="16"/>
    <w:next w:val="16"/>
    <w:link w:val="110"/>
    <w:autoRedefine/>
    <w:qFormat/>
    <w:uiPriority w:val="0"/>
    <w:rPr>
      <w:b/>
      <w:bCs/>
    </w:rPr>
  </w:style>
  <w:style w:type="paragraph" w:styleId="47">
    <w:name w:val="Body Text First Indent 2"/>
    <w:basedOn w:val="20"/>
    <w:link w:val="92"/>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60">
    <w:name w:val="标题 3 Char"/>
    <w:autoRedefine/>
    <w:qFormat/>
    <w:uiPriority w:val="0"/>
    <w:rPr>
      <w:rFonts w:ascii="Times New Roman" w:hAnsi="Times New Roman" w:eastAsia="宋体" w:cs="Times New Roman"/>
      <w:b/>
      <w:bCs/>
      <w:sz w:val="32"/>
      <w:szCs w:val="32"/>
    </w:rPr>
  </w:style>
  <w:style w:type="character" w:customStyle="1" w:styleId="61">
    <w:name w:val="标题 2 Char"/>
    <w:autoRedefine/>
    <w:qFormat/>
    <w:uiPriority w:val="9"/>
    <w:rPr>
      <w:rFonts w:ascii="Calibri Light" w:hAnsi="Calibri Light" w:eastAsia="宋体" w:cs="Times New Roman"/>
      <w:b/>
      <w:bCs/>
      <w:sz w:val="32"/>
      <w:szCs w:val="32"/>
    </w:rPr>
  </w:style>
  <w:style w:type="paragraph" w:customStyle="1" w:styleId="62">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3">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4">
    <w:name w:val="Heading 2 Char"/>
    <w:autoRedefine/>
    <w:qFormat/>
    <w:locked/>
    <w:uiPriority w:val="0"/>
    <w:rPr>
      <w:rFonts w:ascii="Arial" w:hAnsi="Arial" w:eastAsia="黑体" w:cs="Times New Roman"/>
      <w:b/>
      <w:kern w:val="2"/>
      <w:sz w:val="32"/>
      <w:lang w:val="en-US" w:eastAsia="zh-CN"/>
    </w:rPr>
  </w:style>
  <w:style w:type="character" w:customStyle="1" w:styleId="65">
    <w:name w:val="Heading 3 Char"/>
    <w:autoRedefine/>
    <w:qFormat/>
    <w:locked/>
    <w:uiPriority w:val="0"/>
    <w:rPr>
      <w:rFonts w:ascii="Times New Roman" w:hAnsi="Times New Roman" w:eastAsia="宋体" w:cs="Times New Roman"/>
      <w:b/>
      <w:kern w:val="2"/>
      <w:sz w:val="32"/>
    </w:rPr>
  </w:style>
  <w:style w:type="character" w:customStyle="1" w:styleId="66">
    <w:name w:val="Heading 4 Char"/>
    <w:autoRedefine/>
    <w:qFormat/>
    <w:locked/>
    <w:uiPriority w:val="0"/>
    <w:rPr>
      <w:rFonts w:ascii="Arial" w:hAnsi="Arial" w:eastAsia="宋体" w:cs="Times New Roman"/>
      <w:b/>
      <w:kern w:val="2"/>
      <w:sz w:val="28"/>
      <w:lang w:val="en-US" w:eastAsia="zh-CN"/>
    </w:rPr>
  </w:style>
  <w:style w:type="character" w:customStyle="1" w:styleId="67">
    <w:name w:val="Heading 5 Char"/>
    <w:autoRedefine/>
    <w:qFormat/>
    <w:locked/>
    <w:uiPriority w:val="0"/>
    <w:rPr>
      <w:rFonts w:ascii="Times New Roman" w:hAnsi="Times New Roman" w:eastAsia="宋体" w:cs="Times New Roman"/>
      <w:b/>
      <w:kern w:val="2"/>
      <w:sz w:val="28"/>
      <w:lang w:val="en-US" w:eastAsia="zh-CN"/>
    </w:rPr>
  </w:style>
  <w:style w:type="character" w:customStyle="1" w:styleId="68">
    <w:name w:val="标题 6 Char"/>
    <w:link w:val="7"/>
    <w:autoRedefine/>
    <w:qFormat/>
    <w:locked/>
    <w:uiPriority w:val="0"/>
    <w:rPr>
      <w:rFonts w:ascii="Cambria" w:hAnsi="Cambria" w:cs="Times New Roman"/>
      <w:b/>
      <w:bCs/>
      <w:kern w:val="2"/>
      <w:sz w:val="24"/>
      <w:szCs w:val="24"/>
    </w:rPr>
  </w:style>
  <w:style w:type="character" w:customStyle="1" w:styleId="69">
    <w:name w:val="标题 7 Char"/>
    <w:link w:val="8"/>
    <w:autoRedefine/>
    <w:qFormat/>
    <w:locked/>
    <w:uiPriority w:val="0"/>
    <w:rPr>
      <w:rFonts w:ascii="Calibri" w:hAnsi="Calibri" w:cs="Times New Roman"/>
      <w:b/>
      <w:bCs/>
      <w:kern w:val="2"/>
      <w:sz w:val="24"/>
      <w:szCs w:val="24"/>
    </w:rPr>
  </w:style>
  <w:style w:type="character" w:customStyle="1" w:styleId="70">
    <w:name w:val="标题 8 Char"/>
    <w:link w:val="9"/>
    <w:autoRedefine/>
    <w:qFormat/>
    <w:locked/>
    <w:uiPriority w:val="0"/>
    <w:rPr>
      <w:rFonts w:ascii="Cambria" w:hAnsi="Cambria" w:cs="Times New Roman"/>
      <w:kern w:val="2"/>
      <w:sz w:val="24"/>
      <w:szCs w:val="24"/>
    </w:rPr>
  </w:style>
  <w:style w:type="character" w:customStyle="1" w:styleId="71">
    <w:name w:val="标题 9 Char"/>
    <w:link w:val="10"/>
    <w:autoRedefine/>
    <w:qFormat/>
    <w:locked/>
    <w:uiPriority w:val="0"/>
    <w:rPr>
      <w:rFonts w:ascii="Cambria" w:hAnsi="Cambria" w:cs="Times New Roman"/>
      <w:kern w:val="2"/>
      <w:sz w:val="21"/>
      <w:szCs w:val="21"/>
    </w:rPr>
  </w:style>
  <w:style w:type="character" w:customStyle="1" w:styleId="72">
    <w:name w:val="Document Map Char"/>
    <w:autoRedefine/>
    <w:qFormat/>
    <w:locked/>
    <w:uiPriority w:val="0"/>
    <w:rPr>
      <w:rFonts w:ascii="Times New Roman" w:hAnsi="Times New Roman" w:eastAsia="宋体" w:cs="Times New Roman"/>
      <w:kern w:val="2"/>
      <w:sz w:val="24"/>
      <w:lang w:val="en-US" w:eastAsia="zh-CN"/>
    </w:rPr>
  </w:style>
  <w:style w:type="character" w:customStyle="1" w:styleId="73">
    <w:name w:val="Comment Text Char"/>
    <w:autoRedefine/>
    <w:qFormat/>
    <w:locked/>
    <w:uiPriority w:val="0"/>
    <w:rPr>
      <w:rFonts w:ascii="Times New Roman" w:hAnsi="Times New Roman" w:eastAsia="宋体" w:cs="Times New Roman"/>
      <w:sz w:val="24"/>
    </w:rPr>
  </w:style>
  <w:style w:type="character" w:customStyle="1" w:styleId="74">
    <w:name w:val="正文文本 3 Char"/>
    <w:link w:val="17"/>
    <w:autoRedefine/>
    <w:qFormat/>
    <w:locked/>
    <w:uiPriority w:val="0"/>
    <w:rPr>
      <w:rFonts w:cs="Times New Roman"/>
      <w:sz w:val="16"/>
    </w:rPr>
  </w:style>
  <w:style w:type="character" w:customStyle="1" w:styleId="75">
    <w:name w:val="正文文本 Char"/>
    <w:link w:val="18"/>
    <w:autoRedefine/>
    <w:qFormat/>
    <w:locked/>
    <w:uiPriority w:val="0"/>
    <w:rPr>
      <w:rFonts w:cs="Times New Roman"/>
      <w:kern w:val="2"/>
      <w:sz w:val="24"/>
      <w:szCs w:val="24"/>
    </w:rPr>
  </w:style>
  <w:style w:type="character" w:customStyle="1" w:styleId="76">
    <w:name w:val="Body Text Indent Char"/>
    <w:autoRedefine/>
    <w:qFormat/>
    <w:locked/>
    <w:uiPriority w:val="0"/>
    <w:rPr>
      <w:rFonts w:ascii="宋体" w:hAnsi="宋体" w:eastAsia="宋体" w:cs="Times New Roman"/>
      <w:kern w:val="2"/>
      <w:sz w:val="21"/>
      <w:lang w:val="en-US" w:eastAsia="zh-CN"/>
    </w:rPr>
  </w:style>
  <w:style w:type="character" w:customStyle="1" w:styleId="77">
    <w:name w:val="Plain Text Char"/>
    <w:autoRedefine/>
    <w:qFormat/>
    <w:locked/>
    <w:uiPriority w:val="0"/>
    <w:rPr>
      <w:rFonts w:ascii="宋体" w:hAnsi="Courier New" w:eastAsia="宋体" w:cs="Times New Roman"/>
      <w:sz w:val="24"/>
    </w:rPr>
  </w:style>
  <w:style w:type="character" w:customStyle="1" w:styleId="78">
    <w:name w:val="Date Char"/>
    <w:autoRedefine/>
    <w:qFormat/>
    <w:locked/>
    <w:uiPriority w:val="0"/>
    <w:rPr>
      <w:rFonts w:ascii="Times New Roman" w:hAnsi="Times New Roman" w:eastAsia="宋体" w:cs="Times New Roman"/>
      <w:kern w:val="2"/>
      <w:sz w:val="24"/>
      <w:lang w:val="en-US" w:eastAsia="zh-CN"/>
    </w:rPr>
  </w:style>
  <w:style w:type="character" w:customStyle="1" w:styleId="79">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80">
    <w:name w:val="尾注文本 Char1"/>
    <w:link w:val="30"/>
    <w:autoRedefine/>
    <w:qFormat/>
    <w:locked/>
    <w:uiPriority w:val="0"/>
    <w:rPr>
      <w:rFonts w:cs="Times New Roman"/>
      <w:b/>
      <w:kern w:val="2"/>
      <w:sz w:val="24"/>
    </w:rPr>
  </w:style>
  <w:style w:type="character" w:customStyle="1" w:styleId="81">
    <w:name w:val="Balloon Text Char"/>
    <w:autoRedefine/>
    <w:qFormat/>
    <w:locked/>
    <w:uiPriority w:val="0"/>
    <w:rPr>
      <w:rFonts w:ascii="Times New Roman" w:hAnsi="Times New Roman" w:eastAsia="宋体" w:cs="Times New Roman"/>
      <w:sz w:val="18"/>
    </w:rPr>
  </w:style>
  <w:style w:type="character" w:customStyle="1" w:styleId="82">
    <w:name w:val="Footer Char"/>
    <w:autoRedefine/>
    <w:qFormat/>
    <w:locked/>
    <w:uiPriority w:val="0"/>
    <w:rPr>
      <w:rFonts w:ascii="Times New Roman" w:hAnsi="Times New Roman" w:eastAsia="宋体" w:cs="Times New Roman"/>
      <w:kern w:val="2"/>
      <w:sz w:val="18"/>
      <w:lang w:val="en-US" w:eastAsia="zh-CN"/>
    </w:rPr>
  </w:style>
  <w:style w:type="character" w:customStyle="1" w:styleId="83">
    <w:name w:val="Header Char"/>
    <w:autoRedefine/>
    <w:qFormat/>
    <w:locked/>
    <w:uiPriority w:val="0"/>
    <w:rPr>
      <w:rFonts w:ascii="Times New Roman" w:hAnsi="Times New Roman" w:eastAsia="宋体" w:cs="Times New Roman"/>
      <w:kern w:val="2"/>
      <w:sz w:val="18"/>
      <w:lang w:val="en-US" w:eastAsia="zh-CN"/>
    </w:rPr>
  </w:style>
  <w:style w:type="character" w:customStyle="1" w:styleId="84">
    <w:name w:val="副标题 Char"/>
    <w:link w:val="36"/>
    <w:autoRedefine/>
    <w:qFormat/>
    <w:locked/>
    <w:uiPriority w:val="0"/>
    <w:rPr>
      <w:rFonts w:ascii="Cambria" w:hAnsi="Cambria" w:cs="Times New Roman"/>
      <w:b/>
      <w:kern w:val="28"/>
      <w:sz w:val="32"/>
    </w:rPr>
  </w:style>
  <w:style w:type="character" w:customStyle="1" w:styleId="85">
    <w:name w:val="Footnote Text Char"/>
    <w:autoRedefine/>
    <w:qFormat/>
    <w:locked/>
    <w:uiPriority w:val="0"/>
    <w:rPr>
      <w:rFonts w:ascii="Times New Roman" w:hAnsi="Times New Roman" w:eastAsia="宋体" w:cs="Times New Roman"/>
      <w:sz w:val="18"/>
      <w:lang w:val="en-US" w:eastAsia="zh-CN"/>
    </w:rPr>
  </w:style>
  <w:style w:type="character" w:customStyle="1" w:styleId="86">
    <w:name w:val="正文文本缩进 3 Char"/>
    <w:link w:val="39"/>
    <w:autoRedefine/>
    <w:qFormat/>
    <w:locked/>
    <w:uiPriority w:val="0"/>
    <w:rPr>
      <w:rFonts w:cs="Times New Roman"/>
      <w:sz w:val="24"/>
    </w:rPr>
  </w:style>
  <w:style w:type="character" w:customStyle="1" w:styleId="87">
    <w:name w:val="正文文本 2 Char"/>
    <w:link w:val="42"/>
    <w:autoRedefine/>
    <w:qFormat/>
    <w:locked/>
    <w:uiPriority w:val="0"/>
    <w:rPr>
      <w:rFonts w:cs="Times New Roman"/>
      <w:kern w:val="2"/>
      <w:sz w:val="24"/>
    </w:rPr>
  </w:style>
  <w:style w:type="character" w:customStyle="1" w:styleId="88">
    <w:name w:val="HTML 预设格式 Char"/>
    <w:link w:val="43"/>
    <w:autoRedefine/>
    <w:qFormat/>
    <w:locked/>
    <w:uiPriority w:val="0"/>
    <w:rPr>
      <w:rFonts w:ascii="宋体" w:eastAsia="宋体" w:cs="Times New Roman"/>
      <w:sz w:val="24"/>
    </w:rPr>
  </w:style>
  <w:style w:type="character" w:customStyle="1" w:styleId="89">
    <w:name w:val="Title Char"/>
    <w:autoRedefine/>
    <w:qFormat/>
    <w:locked/>
    <w:uiPriority w:val="0"/>
    <w:rPr>
      <w:rFonts w:ascii="Cambria" w:hAnsi="Cambria" w:eastAsia="宋体" w:cs="Times New Roman"/>
      <w:b/>
      <w:sz w:val="32"/>
    </w:rPr>
  </w:style>
  <w:style w:type="character" w:customStyle="1" w:styleId="90">
    <w:name w:val="Comment Subject Char"/>
    <w:autoRedefine/>
    <w:qFormat/>
    <w:locked/>
    <w:uiPriority w:val="0"/>
    <w:rPr>
      <w:rFonts w:ascii="Times New Roman" w:hAnsi="Times New Roman" w:eastAsia="宋体" w:cs="Times New Roman"/>
      <w:b/>
      <w:sz w:val="24"/>
    </w:rPr>
  </w:style>
  <w:style w:type="character" w:customStyle="1" w:styleId="91">
    <w:name w:val="正文首行缩进 Char"/>
    <w:link w:val="19"/>
    <w:autoRedefine/>
    <w:qFormat/>
    <w:locked/>
    <w:uiPriority w:val="0"/>
    <w:rPr>
      <w:rFonts w:cs="Times New Roman"/>
      <w:kern w:val="2"/>
      <w:sz w:val="24"/>
      <w:szCs w:val="24"/>
    </w:rPr>
  </w:style>
  <w:style w:type="character" w:customStyle="1" w:styleId="92">
    <w:name w:val="正文首行缩进 2 Char"/>
    <w:link w:val="47"/>
    <w:autoRedefine/>
    <w:qFormat/>
    <w:locked/>
    <w:uiPriority w:val="0"/>
    <w:rPr>
      <w:rFonts w:ascii="宋体" w:hAnsi="宋体" w:eastAsia="宋体" w:cs="Times New Roman"/>
      <w:kern w:val="2"/>
      <w:sz w:val="24"/>
      <w:lang w:val="en-US" w:eastAsia="zh-CN"/>
    </w:rPr>
  </w:style>
  <w:style w:type="character" w:customStyle="1" w:styleId="93">
    <w:name w:val="页眉 Char"/>
    <w:link w:val="33"/>
    <w:autoRedefine/>
    <w:qFormat/>
    <w:locked/>
    <w:uiPriority w:val="0"/>
    <w:rPr>
      <w:rFonts w:cs="Times New Roman"/>
      <w:sz w:val="18"/>
      <w:szCs w:val="18"/>
    </w:rPr>
  </w:style>
  <w:style w:type="character" w:customStyle="1" w:styleId="94">
    <w:name w:val="页脚 Char"/>
    <w:link w:val="32"/>
    <w:autoRedefine/>
    <w:qFormat/>
    <w:locked/>
    <w:uiPriority w:val="99"/>
    <w:rPr>
      <w:rFonts w:cs="Times New Roman"/>
      <w:sz w:val="18"/>
      <w:szCs w:val="18"/>
    </w:rPr>
  </w:style>
  <w:style w:type="character" w:customStyle="1" w:styleId="95">
    <w:name w:val="标题 1 Char"/>
    <w:autoRedefine/>
    <w:qFormat/>
    <w:uiPriority w:val="0"/>
    <w:rPr>
      <w:rFonts w:ascii="Times New Roman" w:hAnsi="Times New Roman" w:eastAsia="宋体" w:cs="Times New Roman"/>
      <w:b/>
      <w:bCs/>
      <w:kern w:val="44"/>
      <w:sz w:val="44"/>
      <w:szCs w:val="44"/>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Char"/>
    <w:link w:val="44"/>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Char5"/>
    <w:link w:val="26"/>
    <w:autoRedefine/>
    <w:qFormat/>
    <w:locked/>
    <w:uiPriority w:val="99"/>
    <w:rPr>
      <w:rFonts w:ascii="宋体" w:hAnsi="Courier New" w:eastAsia="宋体"/>
    </w:rPr>
  </w:style>
  <w:style w:type="character" w:customStyle="1" w:styleId="100">
    <w:name w:val="标题 3 Char2"/>
    <w:link w:val="4"/>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Char2"/>
    <w:link w:val="2"/>
    <w:autoRedefine/>
    <w:qFormat/>
    <w:locked/>
    <w:uiPriority w:val="99"/>
    <w:rPr>
      <w:rFonts w:ascii="Arial" w:hAnsi="Arial" w:eastAsia="黑体"/>
      <w:b/>
      <w:kern w:val="28"/>
      <w:sz w:val="36"/>
    </w:rPr>
  </w:style>
  <w:style w:type="character" w:customStyle="1" w:styleId="103">
    <w:name w:val="标题 2 Char2"/>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customStyle="1" w:styleId="106">
    <w:name w:val="列表段落1"/>
    <w:basedOn w:val="1"/>
    <w:link w:val="115"/>
    <w:autoRedefine/>
    <w:qFormat/>
    <w:uiPriority w:val="0"/>
    <w:pPr>
      <w:ind w:firstLine="420"/>
    </w:pPr>
    <w:rPr>
      <w:sz w:val="24"/>
      <w:szCs w:val="20"/>
    </w:rPr>
  </w:style>
  <w:style w:type="character" w:customStyle="1" w:styleId="107">
    <w:name w:val="批注框文本 Char"/>
    <w:link w:val="31"/>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Char2"/>
    <w:link w:val="16"/>
    <w:autoRedefine/>
    <w:qFormat/>
    <w:locked/>
    <w:uiPriority w:val="0"/>
    <w:rPr>
      <w:rFonts w:cs="Times New Roman"/>
      <w:kern w:val="2"/>
      <w:sz w:val="24"/>
      <w:szCs w:val="24"/>
    </w:rPr>
  </w:style>
  <w:style w:type="character" w:customStyle="1" w:styleId="110">
    <w:name w:val="批注主题 Char"/>
    <w:link w:val="46"/>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Char"/>
    <w:link w:val="12"/>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表段落 字符"/>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Char"/>
    <w:link w:val="28"/>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Char"/>
    <w:link w:val="5"/>
    <w:autoRedefine/>
    <w:qFormat/>
    <w:locked/>
    <w:uiPriority w:val="0"/>
    <w:rPr>
      <w:rFonts w:ascii="Arial" w:hAnsi="Arial" w:cs="Times New Roman"/>
      <w:b/>
      <w:bCs/>
      <w:kern w:val="2"/>
      <w:sz w:val="28"/>
      <w:szCs w:val="28"/>
    </w:rPr>
  </w:style>
  <w:style w:type="character" w:customStyle="1" w:styleId="122">
    <w:name w:val="标题 5 Char"/>
    <w:link w:val="6"/>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customStyle="1" w:styleId="140">
    <w:name w:val="引用1"/>
    <w:basedOn w:val="1"/>
    <w:next w:val="1"/>
    <w:link w:val="141"/>
    <w:autoRedefine/>
    <w:qFormat/>
    <w:uiPriority w:val="0"/>
    <w:rPr>
      <w:i/>
      <w:color w:val="000000"/>
      <w:kern w:val="0"/>
      <w:sz w:val="20"/>
      <w:szCs w:val="20"/>
    </w:rPr>
  </w:style>
  <w:style w:type="character" w:customStyle="1" w:styleId="141">
    <w:name w:val="引用 字符"/>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Char"/>
    <w:link w:val="15"/>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3"/>
    <w:next w:val="22"/>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Char"/>
    <w:link w:val="29"/>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Char"/>
    <w:link w:val="45"/>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Char"/>
    <w:link w:val="37"/>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字符"/>
    <w:link w:val="261"/>
    <w:autoRedefine/>
    <w:qFormat/>
    <w:locked/>
    <w:uiPriority w:val="0"/>
    <w:rPr>
      <w:kern w:val="2"/>
      <w:sz w:val="24"/>
      <w:lang w:val="en-US" w:eastAsia="zh-CN"/>
    </w:rPr>
  </w:style>
  <w:style w:type="paragraph" w:customStyle="1" w:styleId="261">
    <w:name w:val="无间隔2"/>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customStyle="1" w:styleId="268">
    <w:name w:val="明显引用1"/>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字符"/>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4"/>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5"/>
    <w:next w:val="2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Char"/>
    <w:link w:val="20"/>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3"/>
    <w:autoRedefine/>
    <w:qFormat/>
    <w:uiPriority w:val="0"/>
    <w:pPr>
      <w:spacing w:before="0" w:after="0" w:line="360" w:lineRule="auto"/>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5"/>
    <w:autoRedefine/>
    <w:qFormat/>
    <w:uiPriority w:val="0"/>
    <w:pPr>
      <w:outlineLvl w:val="9"/>
    </w:pPr>
    <w:rPr>
      <w:rFonts w:ascii="Calibri" w:hAnsi="Calibri"/>
    </w:rPr>
  </w:style>
  <w:style w:type="paragraph" w:customStyle="1" w:styleId="335">
    <w:name w:val="正文文本_0"/>
    <w:basedOn w:val="2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4"/>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4"/>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5"/>
    <w:next w:val="25"/>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2"/>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5"/>
    <w:next w:val="25"/>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TOC 标题2"/>
    <w:basedOn w:val="2"/>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1">
    <w:name w:val="Char Char Char Char Char Char Char"/>
    <w:basedOn w:val="1"/>
    <w:autoRedefine/>
    <w:qFormat/>
    <w:uiPriority w:val="0"/>
    <w:pPr>
      <w:widowControl/>
      <w:spacing w:after="160" w:line="240" w:lineRule="exact"/>
      <w:jc w:val="left"/>
    </w:pPr>
  </w:style>
  <w:style w:type="table" w:customStyle="1" w:styleId="362">
    <w:name w:val="Table Normal1"/>
    <w:autoRedefine/>
    <w:qFormat/>
    <w:uiPriority w:val="99"/>
    <w:tblPr>
      <w:tblCellMar>
        <w:top w:w="0" w:type="dxa"/>
        <w:left w:w="0" w:type="dxa"/>
        <w:bottom w:w="0" w:type="dxa"/>
        <w:right w:w="0" w:type="dxa"/>
      </w:tblCellMar>
    </w:tblPr>
  </w:style>
  <w:style w:type="paragraph" w:customStyle="1" w:styleId="36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4">
    <w:name w:val="Table Normal"/>
    <w:autoRedefine/>
    <w:unhideWhenUsed/>
    <w:qFormat/>
    <w:uiPriority w:val="0"/>
    <w:rPr>
      <w:rFonts w:ascii="Calibri" w:hAnsi="Calibri"/>
    </w:rPr>
    <w:tblPr>
      <w:tblCellMar>
        <w:top w:w="0" w:type="dxa"/>
        <w:left w:w="0" w:type="dxa"/>
        <w:bottom w:w="0" w:type="dxa"/>
        <w:right w:w="0" w:type="dxa"/>
      </w:tblCellMar>
    </w:tblPr>
  </w:style>
  <w:style w:type="table" w:customStyle="1" w:styleId="365">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6">
    <w:name w:val="不明显强调2"/>
    <w:autoRedefine/>
    <w:qFormat/>
    <w:uiPriority w:val="0"/>
    <w:rPr>
      <w:i/>
      <w:iCs/>
      <w:color w:val="808080"/>
    </w:rPr>
  </w:style>
  <w:style w:type="character" w:customStyle="1" w:styleId="367">
    <w:name w:val="Quote Char"/>
    <w:autoRedefine/>
    <w:qFormat/>
    <w:uiPriority w:val="0"/>
    <w:rPr>
      <w:i/>
      <w:color w:val="000000"/>
      <w:kern w:val="2"/>
      <w:sz w:val="21"/>
      <w:szCs w:val="24"/>
    </w:rPr>
  </w:style>
  <w:style w:type="character" w:customStyle="1" w:styleId="368">
    <w:name w:val="明显强调3"/>
    <w:autoRedefine/>
    <w:qFormat/>
    <w:uiPriority w:val="0"/>
    <w:rPr>
      <w:b/>
      <w:bCs/>
      <w:i/>
      <w:iCs/>
      <w:color w:val="4F81BD"/>
    </w:rPr>
  </w:style>
  <w:style w:type="character" w:customStyle="1" w:styleId="369">
    <w:name w:val="不明显参考2"/>
    <w:autoRedefine/>
    <w:qFormat/>
    <w:uiPriority w:val="0"/>
    <w:rPr>
      <w:smallCaps/>
      <w:color w:val="C0504D"/>
      <w:u w:val="single"/>
    </w:rPr>
  </w:style>
  <w:style w:type="character" w:customStyle="1" w:styleId="370">
    <w:name w:val="明显参考3"/>
    <w:autoRedefine/>
    <w:qFormat/>
    <w:uiPriority w:val="0"/>
    <w:rPr>
      <w:b/>
      <w:bCs/>
      <w:smallCaps/>
      <w:color w:val="C0504D"/>
      <w:spacing w:val="5"/>
      <w:u w:val="single"/>
    </w:rPr>
  </w:style>
  <w:style w:type="character" w:customStyle="1" w:styleId="371">
    <w:name w:val="书籍标题3"/>
    <w:autoRedefine/>
    <w:qFormat/>
    <w:uiPriority w:val="0"/>
    <w:rPr>
      <w:b/>
      <w:bCs/>
      <w:smallCaps/>
      <w:spacing w:val="5"/>
    </w:rPr>
  </w:style>
  <w:style w:type="character" w:customStyle="1" w:styleId="372">
    <w:name w:val="未处理的提及2"/>
    <w:autoRedefine/>
    <w:qFormat/>
    <w:uiPriority w:val="0"/>
    <w:rPr>
      <w:color w:val="808080"/>
      <w:shd w:val="clear" w:color="auto" w:fill="E6E6E6"/>
    </w:rPr>
  </w:style>
  <w:style w:type="paragraph" w:customStyle="1" w:styleId="373">
    <w:name w:val="样式1"/>
    <w:basedOn w:val="1"/>
    <w:next w:val="5"/>
    <w:autoRedefine/>
    <w:qFormat/>
    <w:uiPriority w:val="0"/>
    <w:pPr>
      <w:spacing w:line="360" w:lineRule="auto"/>
      <w:ind w:firstLine="420"/>
    </w:pPr>
    <w:rPr>
      <w:rFonts w:ascii="宋体" w:hAnsi="宋体"/>
      <w:szCs w:val="21"/>
    </w:rPr>
  </w:style>
  <w:style w:type="paragraph" w:customStyle="1" w:styleId="374">
    <w:name w:val="TOC 标题3"/>
    <w:basedOn w:val="2"/>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5">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6">
    <w:name w:val="TOC 标题4"/>
    <w:basedOn w:val="2"/>
    <w:next w:val="1"/>
    <w:autoRedefine/>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paragraph" w:customStyle="1" w:styleId="377">
    <w:name w:val="列表段落11"/>
    <w:basedOn w:val="1"/>
    <w:autoRedefine/>
    <w:qFormat/>
    <w:uiPriority w:val="0"/>
    <w:pPr>
      <w:ind w:firstLine="420"/>
    </w:pPr>
    <w:rPr>
      <w:rFonts w:ascii="Calibri" w:hAnsi="Calibri" w:cs="Calibri"/>
      <w:szCs w:val="21"/>
    </w:rPr>
  </w:style>
  <w:style w:type="character" w:customStyle="1" w:styleId="378">
    <w:name w:val="font71"/>
    <w:basedOn w:val="50"/>
    <w:autoRedefine/>
    <w:qFormat/>
    <w:uiPriority w:val="0"/>
    <w:rPr>
      <w:rFonts w:hint="default" w:ascii="Times New Roman" w:hAnsi="Times New Roman" w:cs="Times New Roman"/>
      <w:color w:val="000000"/>
      <w:sz w:val="28"/>
      <w:szCs w:val="28"/>
      <w:u w:val="none"/>
    </w:rPr>
  </w:style>
  <w:style w:type="paragraph" w:customStyle="1" w:styleId="379">
    <w:name w:val="Char2"/>
    <w:basedOn w:val="1"/>
    <w:autoRedefine/>
    <w:qFormat/>
    <w:uiPriority w:val="0"/>
    <w:pPr>
      <w:pageBreakBefore/>
      <w:tabs>
        <w:tab w:val="left" w:pos="432"/>
      </w:tabs>
      <w:ind w:left="432" w:hanging="432"/>
    </w:pPr>
    <w:rPr>
      <w:rFonts w:ascii="Tahoma" w:hAnsi="Tahoma"/>
      <w:sz w:val="24"/>
      <w:szCs w:val="20"/>
    </w:rPr>
  </w:style>
  <w:style w:type="character" w:customStyle="1" w:styleId="380">
    <w:name w:val="font31"/>
    <w:basedOn w:val="50"/>
    <w:autoRedefine/>
    <w:qFormat/>
    <w:uiPriority w:val="0"/>
    <w:rPr>
      <w:rFonts w:hint="eastAsia" w:ascii="宋体" w:hAnsi="宋体" w:eastAsia="宋体" w:cs="宋体"/>
      <w:b/>
      <w:bCs/>
      <w:color w:val="000000"/>
      <w:sz w:val="24"/>
      <w:szCs w:val="24"/>
      <w:u w:val="none"/>
    </w:rPr>
  </w:style>
  <w:style w:type="character" w:customStyle="1" w:styleId="381">
    <w:name w:val="font81"/>
    <w:basedOn w:val="50"/>
    <w:autoRedefine/>
    <w:qFormat/>
    <w:uiPriority w:val="0"/>
    <w:rPr>
      <w:rFonts w:hint="eastAsia" w:ascii="宋体" w:hAnsi="宋体" w:eastAsia="宋体" w:cs="宋体"/>
      <w:color w:val="000000"/>
      <w:sz w:val="24"/>
      <w:szCs w:val="24"/>
      <w:u w:val="none"/>
    </w:rPr>
  </w:style>
  <w:style w:type="character" w:customStyle="1" w:styleId="382">
    <w:name w:val="font91"/>
    <w:basedOn w:val="50"/>
    <w:autoRedefine/>
    <w:qFormat/>
    <w:uiPriority w:val="0"/>
    <w:rPr>
      <w:rFonts w:hint="default" w:ascii="Times New Roman" w:hAnsi="Times New Roman" w:cs="Times New Roman"/>
      <w:color w:val="000000"/>
      <w:sz w:val="24"/>
      <w:szCs w:val="24"/>
      <w:u w:val="none"/>
    </w:rPr>
  </w:style>
  <w:style w:type="character" w:customStyle="1" w:styleId="383">
    <w:name w:val="font51"/>
    <w:basedOn w:val="50"/>
    <w:autoRedefine/>
    <w:qFormat/>
    <w:uiPriority w:val="0"/>
    <w:rPr>
      <w:rFonts w:hint="eastAsia" w:ascii="宋体" w:hAnsi="宋体" w:eastAsia="宋体" w:cs="宋体"/>
      <w:color w:val="000000"/>
      <w:sz w:val="24"/>
      <w:szCs w:val="24"/>
      <w:u w:val="none"/>
    </w:rPr>
  </w:style>
  <w:style w:type="paragraph" w:customStyle="1" w:styleId="384">
    <w:name w:val="表格文字"/>
    <w:basedOn w:val="1"/>
    <w:autoRedefine/>
    <w:qFormat/>
    <w:uiPriority w:val="0"/>
    <w:pPr>
      <w:adjustRightInd w:val="0"/>
      <w:spacing w:line="420" w:lineRule="atLeast"/>
      <w:jc w:val="left"/>
      <w:textAlignment w:val="baseline"/>
    </w:pPr>
    <w:rPr>
      <w:kern w:val="0"/>
      <w:szCs w:val="20"/>
    </w:rPr>
  </w:style>
  <w:style w:type="paragraph" w:customStyle="1" w:styleId="385">
    <w:name w:val="_Style 30"/>
    <w:basedOn w:val="1"/>
    <w:next w:val="106"/>
    <w:autoRedefine/>
    <w:qFormat/>
    <w:uiPriority w:val="99"/>
    <w:pPr>
      <w:spacing w:line="560" w:lineRule="exact"/>
      <w:ind w:firstLine="420"/>
    </w:pPr>
    <w:rPr>
      <w:rFonts w:eastAsia="仿宋"/>
      <w:sz w:val="32"/>
      <w:szCs w:val="20"/>
    </w:rPr>
  </w:style>
  <w:style w:type="character" w:customStyle="1" w:styleId="386">
    <w:name w:val="标题 2 Char3"/>
    <w:basedOn w:val="50"/>
    <w:link w:val="3"/>
    <w:autoRedefine/>
    <w:qFormat/>
    <w:uiPriority w:val="9"/>
    <w:rPr>
      <w:rFonts w:ascii="Arial" w:hAnsi="Arial" w:eastAsia="黑体"/>
      <w:b/>
      <w:kern w:val="2"/>
      <w:sz w:val="32"/>
    </w:rPr>
  </w:style>
  <w:style w:type="character" w:customStyle="1" w:styleId="387">
    <w:name w:val="font41"/>
    <w:basedOn w:val="50"/>
    <w:autoRedefine/>
    <w:qFormat/>
    <w:uiPriority w:val="0"/>
    <w:rPr>
      <w:rFonts w:hint="eastAsia" w:ascii="宋体" w:hAnsi="宋体" w:eastAsia="宋体" w:cs="宋体"/>
      <w:color w:val="000000"/>
      <w:sz w:val="28"/>
      <w:szCs w:val="28"/>
      <w:u w:val="none"/>
    </w:rPr>
  </w:style>
  <w:style w:type="character" w:customStyle="1" w:styleId="388">
    <w:name w:val="font101"/>
    <w:basedOn w:val="50"/>
    <w:autoRedefine/>
    <w:qFormat/>
    <w:uiPriority w:val="0"/>
    <w:rPr>
      <w:rFonts w:hint="default" w:ascii="Times New Roman" w:hAnsi="Times New Roman" w:cs="Times New Roman"/>
      <w:color w:val="000000"/>
      <w:sz w:val="28"/>
      <w:szCs w:val="28"/>
      <w:u w:val="none"/>
    </w:rPr>
  </w:style>
  <w:style w:type="character" w:customStyle="1" w:styleId="389">
    <w:name w:val="font11"/>
    <w:basedOn w:val="50"/>
    <w:autoRedefine/>
    <w:qFormat/>
    <w:uiPriority w:val="0"/>
    <w:rPr>
      <w:rFonts w:hint="eastAsia" w:ascii="方正仿宋_GBK" w:hAnsi="方正仿宋_GBK" w:eastAsia="方正仿宋_GBK" w:cs="方正仿宋_GBK"/>
      <w:b/>
      <w:bCs/>
      <w:color w:val="000000"/>
      <w:sz w:val="32"/>
      <w:szCs w:val="32"/>
      <w:u w:val="none"/>
    </w:rPr>
  </w:style>
  <w:style w:type="character" w:customStyle="1" w:styleId="390">
    <w:name w:val="font21"/>
    <w:basedOn w:val="50"/>
    <w:autoRedefine/>
    <w:qFormat/>
    <w:uiPriority w:val="0"/>
    <w:rPr>
      <w:rFonts w:hint="eastAsia" w:ascii="方正仿宋_GBK" w:hAnsi="方正仿宋_GBK" w:eastAsia="方正仿宋_GBK" w:cs="方正仿宋_GBK"/>
      <w:color w:val="000000"/>
      <w:sz w:val="20"/>
      <w:szCs w:val="20"/>
      <w:u w:val="none"/>
    </w:rPr>
  </w:style>
  <w:style w:type="character" w:customStyle="1" w:styleId="391">
    <w:name w:val="font61"/>
    <w:basedOn w:val="50"/>
    <w:autoRedefine/>
    <w:qFormat/>
    <w:uiPriority w:val="0"/>
    <w:rPr>
      <w:rFonts w:hint="eastAsia" w:ascii="方正仿宋_GBK" w:hAnsi="方正仿宋_GBK" w:eastAsia="方正仿宋_GBK" w:cs="方正仿宋_GBK"/>
      <w:color w:val="333333"/>
      <w:sz w:val="20"/>
      <w:szCs w:val="20"/>
      <w:u w:val="none"/>
    </w:rPr>
  </w:style>
  <w:style w:type="paragraph" w:styleId="392">
    <w:name w:val="List Paragraph"/>
    <w:autoRedefine/>
    <w:qFormat/>
    <w:uiPriority w:val="1"/>
    <w:pPr>
      <w:widowControl w:val="0"/>
      <w:autoSpaceDE w:val="0"/>
      <w:autoSpaceDN w:val="0"/>
      <w:ind w:left="560" w:hanging="420"/>
    </w:pPr>
    <w:rPr>
      <w:rFonts w:ascii="宋体" w:hAnsi="宋体" w:eastAsia="宋体" w:cs="宋体"/>
      <w:sz w:val="22"/>
      <w:szCs w:val="22"/>
      <w:lang w:val="en-US" w:eastAsia="en-US" w:bidi="ar-SA"/>
    </w:rPr>
  </w:style>
  <w:style w:type="character" w:customStyle="1" w:styleId="393">
    <w:name w:val="标题 2 字符"/>
    <w:link w:val="3"/>
    <w:autoRedefine/>
    <w:qFormat/>
    <w:locked/>
    <w:uiPriority w:val="99"/>
    <w:rPr>
      <w:rFonts w:ascii="Arial" w:hAnsi="Arial" w:eastAsia="黑体"/>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54</Pages>
  <Words>16690</Words>
  <Characters>17812</Characters>
  <Lines>284</Lines>
  <Paragraphs>80</Paragraphs>
  <TotalTime>179</TotalTime>
  <ScaleCrop>false</ScaleCrop>
  <LinksUpToDate>false</LinksUpToDate>
  <CharactersWithSpaces>18257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2024-01-18T02:30:00Z</dcterms:created>
  <dc:creator>刘艳辉</dc:creator>
  <cp:lastModifiedBy>wangjinlong</cp:lastModifiedBy>
  <cp:lastPrinted>2024-11-06T09:01:00Z</cp:lastPrinted>
  <dcterms:modified xsi:type="dcterms:W3CDTF">2025-09-12T06:52:26Z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F48D043509F3446C8B2F8D938559506B_13</vt:lpwstr>
  </property>
  <property fmtid="{D5CDD505-2E9C-101B-9397-08002B2CF9AE}" pid="4" name="KSOTemplateDocerSaveRecord">
    <vt:lpwstr>eyJoZGlkIjoiYjNmMmQ0MDU5MmZjMTgxZWQ5MjE2OTdkNDk0MzI0ZGIiLCJ1c2VySWQiOiI0MTY5NjM1OTcifQ==</vt:lpwstr>
  </property>
</Properties>
</file>